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41D" w:rsidRPr="00BF3DD0" w:rsidRDefault="00E039D2">
      <w:pPr>
        <w:spacing w:after="266"/>
        <w:ind w:left="1243"/>
        <w:rPr>
          <w:sz w:val="24"/>
          <w:szCs w:val="24"/>
        </w:rPr>
      </w:pPr>
      <w:r>
        <w:t xml:space="preserve">  </w:t>
      </w:r>
      <w:r w:rsidR="00F83F19">
        <w:rPr>
          <w:noProof/>
        </w:rPr>
        <w:drawing>
          <wp:inline distT="0" distB="0" distL="0" distR="0" wp14:anchorId="27BB8371" wp14:editId="5FAE4943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>
        <w:tab/>
      </w:r>
      <w:r w:rsidR="00ED1491">
        <w:tab/>
      </w:r>
      <w:r w:rsidR="00ED1491" w:rsidRPr="00B268D2">
        <w:rPr>
          <w:sz w:val="24"/>
          <w:szCs w:val="24"/>
        </w:rPr>
        <w:t xml:space="preserve">Warszawa, </w:t>
      </w:r>
      <w:r w:rsidR="00820D58">
        <w:rPr>
          <w:sz w:val="24"/>
          <w:szCs w:val="24"/>
        </w:rPr>
        <w:t>/</w:t>
      </w:r>
      <w:r w:rsidR="00820D58">
        <w:rPr>
          <w:i/>
          <w:sz w:val="24"/>
          <w:szCs w:val="24"/>
        </w:rPr>
        <w:t>elektroniczny znacznik czasu</w:t>
      </w:r>
      <w:r w:rsidR="00820D58">
        <w:rPr>
          <w:sz w:val="24"/>
          <w:szCs w:val="24"/>
        </w:rPr>
        <w:t xml:space="preserve">/      </w:t>
      </w:r>
    </w:p>
    <w:p w:rsidR="000B641D" w:rsidRPr="00BF3DD0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/>
          <w:b/>
          <w:i/>
          <w:color w:val="878887"/>
          <w:sz w:val="24"/>
          <w:szCs w:val="24"/>
        </w:rPr>
      </w:pPr>
      <w:r w:rsidRPr="00BF3DD0">
        <w:rPr>
          <w:rFonts w:asciiTheme="minorHAnsi" w:eastAsia="Times New Roman" w:hAnsiTheme="minorHAnsi" w:cs="Times New Roman"/>
          <w:color w:val="181717"/>
          <w:sz w:val="24"/>
          <w:szCs w:val="24"/>
        </w:rPr>
        <w:t>MINISTER DO SPRAW UNII EUROPEJSKIEJ</w:t>
      </w:r>
    </w:p>
    <w:p w:rsidR="00A72014" w:rsidRPr="00BF3DD0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  <w:szCs w:val="24"/>
        </w:rPr>
      </w:pPr>
      <w:r w:rsidRPr="00BF3DD0">
        <w:rPr>
          <w:b/>
          <w:i/>
          <w:color w:val="878887"/>
          <w:sz w:val="24"/>
          <w:szCs w:val="24"/>
        </w:rPr>
        <w:t>Konrad Szymański</w:t>
      </w:r>
    </w:p>
    <w:p w:rsidR="009B1ED8" w:rsidRPr="00BF3DD0" w:rsidRDefault="009B1ED8" w:rsidP="0036308D">
      <w:pPr>
        <w:spacing w:after="0" w:line="240" w:lineRule="auto"/>
        <w:ind w:right="-45"/>
        <w:jc w:val="both"/>
        <w:rPr>
          <w:b/>
          <w:i/>
          <w:color w:val="878887"/>
          <w:sz w:val="24"/>
          <w:szCs w:val="24"/>
        </w:rPr>
      </w:pPr>
    </w:p>
    <w:p w:rsidR="0036308D" w:rsidRPr="00FF1ECA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FF1ECA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FF1ECA" w:rsidRPr="00564305">
        <w:rPr>
          <w:rFonts w:asciiTheme="minorHAnsi" w:hAnsiTheme="minorHAnsi" w:cs="Times New Roman"/>
          <w:color w:val="auto"/>
          <w:sz w:val="24"/>
          <w:szCs w:val="24"/>
        </w:rPr>
        <w:t>KPDPUE.920.1030.2020.AR(2)</w:t>
      </w:r>
      <w:r w:rsidR="00A06ED0" w:rsidRPr="00FF1ECA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5617F0" w:rsidRPr="00FF1ECA">
        <w:rPr>
          <w:rFonts w:asciiTheme="minorHAnsi" w:hAnsiTheme="minorHAnsi" w:cs="Times New Roman"/>
          <w:color w:val="auto"/>
          <w:sz w:val="24"/>
          <w:szCs w:val="24"/>
        </w:rPr>
        <w:t xml:space="preserve">          </w:t>
      </w:r>
      <w:r w:rsidR="00BD2E1E" w:rsidRPr="00FF1ECA">
        <w:rPr>
          <w:rFonts w:asciiTheme="minorHAnsi" w:hAnsiTheme="minorHAnsi" w:cs="Times New Roman"/>
          <w:color w:val="auto"/>
          <w:sz w:val="24"/>
          <w:szCs w:val="24"/>
        </w:rPr>
        <w:t xml:space="preserve">   </w:t>
      </w:r>
      <w:r w:rsidR="002F4B4F" w:rsidRPr="00FF1ECA">
        <w:rPr>
          <w:rFonts w:asciiTheme="minorHAnsi" w:hAnsiTheme="minorHAnsi" w:cs="Times New Roman"/>
          <w:color w:val="auto"/>
          <w:sz w:val="24"/>
          <w:szCs w:val="24"/>
        </w:rPr>
        <w:t xml:space="preserve">   </w:t>
      </w:r>
    </w:p>
    <w:p w:rsidR="0036308D" w:rsidRPr="00BF3DD0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FF1ECA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F20C66" w:rsidRPr="00F20C66">
        <w:rPr>
          <w:rFonts w:asciiTheme="minorHAnsi" w:hAnsiTheme="minorHAnsi" w:cs="Times New Roman"/>
          <w:color w:val="auto"/>
          <w:sz w:val="24"/>
          <w:szCs w:val="24"/>
        </w:rPr>
        <w:t xml:space="preserve">DP-III.0211.4.2020 </w:t>
      </w:r>
      <w:r w:rsidR="00650EDA" w:rsidRPr="00FF1ECA">
        <w:rPr>
          <w:rFonts w:asciiTheme="minorHAnsi" w:hAnsiTheme="minorHAnsi" w:cs="Times New Roman"/>
          <w:color w:val="auto"/>
          <w:sz w:val="24"/>
          <w:szCs w:val="24"/>
        </w:rPr>
        <w:t xml:space="preserve">z </w:t>
      </w:r>
      <w:r w:rsidR="00F20C66">
        <w:rPr>
          <w:rFonts w:asciiTheme="minorHAnsi" w:hAnsiTheme="minorHAnsi" w:cs="Times New Roman"/>
          <w:color w:val="auto"/>
          <w:sz w:val="24"/>
          <w:szCs w:val="24"/>
        </w:rPr>
        <w:t>7</w:t>
      </w:r>
      <w:r w:rsidR="00A06ED0" w:rsidRPr="00FF1ECA">
        <w:rPr>
          <w:rFonts w:asciiTheme="minorHAnsi" w:hAnsiTheme="minorHAnsi" w:cs="Times New Roman"/>
          <w:color w:val="auto"/>
          <w:sz w:val="24"/>
          <w:szCs w:val="24"/>
        </w:rPr>
        <w:t>.09</w:t>
      </w:r>
      <w:r w:rsidR="0070717E" w:rsidRPr="00FF1ECA">
        <w:rPr>
          <w:rFonts w:asciiTheme="minorHAnsi" w:hAnsiTheme="minorHAnsi" w:cs="Times New Roman"/>
          <w:color w:val="auto"/>
          <w:sz w:val="24"/>
          <w:szCs w:val="24"/>
        </w:rPr>
        <w:t xml:space="preserve">.2020 </w:t>
      </w:r>
      <w:r w:rsidRPr="00FF1ECA">
        <w:rPr>
          <w:rFonts w:asciiTheme="minorHAnsi" w:hAnsiTheme="minorHAnsi" w:cs="Times New Roman"/>
          <w:color w:val="auto"/>
          <w:sz w:val="24"/>
          <w:szCs w:val="24"/>
        </w:rPr>
        <w:t>r.</w:t>
      </w:r>
    </w:p>
    <w:p w:rsidR="00BF3DD0" w:rsidRPr="00BF3DD0" w:rsidRDefault="0036308D" w:rsidP="00CB4E38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  <w:szCs w:val="24"/>
        </w:rPr>
      </w:pP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="00B9144F"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</w:p>
    <w:p w:rsidR="007F2827" w:rsidRDefault="007F2827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</w:p>
    <w:p w:rsidR="00BF3DD0" w:rsidRPr="00BF3DD0" w:rsidRDefault="00E23D0D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 w:rsidRPr="00BF3DD0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0A55DC">
        <w:rPr>
          <w:rFonts w:eastAsia="Times New Roman" w:cs="Times New Roman"/>
          <w:b/>
          <w:color w:val="auto"/>
          <w:sz w:val="24"/>
          <w:szCs w:val="24"/>
        </w:rPr>
        <w:t>Mateusz Morawiecki</w:t>
      </w:r>
      <w:r w:rsidRPr="00BF3DD0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</w:p>
    <w:p w:rsidR="00E23D0D" w:rsidRDefault="000A55DC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Prezes Rady Ministrów</w:t>
      </w:r>
    </w:p>
    <w:p w:rsidR="000A55DC" w:rsidRPr="00BF3DD0" w:rsidRDefault="000A55DC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Minister Cyfryzacji</w:t>
      </w:r>
    </w:p>
    <w:p w:rsidR="00E23D0D" w:rsidRPr="00BF3DD0" w:rsidRDefault="00E23D0D" w:rsidP="00E23D0D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</w:p>
    <w:p w:rsidR="00715553" w:rsidRDefault="00715553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715553" w:rsidRDefault="00715553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7F2827" w:rsidRDefault="007F2827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E23D0D" w:rsidRPr="00BF3DD0" w:rsidRDefault="00E23D0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BF3DD0">
        <w:rPr>
          <w:rFonts w:eastAsia="Times New Roman" w:cs="Times New Roman"/>
          <w:b/>
          <w:sz w:val="24"/>
          <w:szCs w:val="24"/>
        </w:rPr>
        <w:t>Opinia</w:t>
      </w:r>
    </w:p>
    <w:p w:rsidR="00E23D0D" w:rsidRPr="00BF3DD0" w:rsidRDefault="00E23D0D" w:rsidP="00111A34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eastAsia="Times New Roman" w:cs="Times New Roman"/>
          <w:b/>
          <w:sz w:val="24"/>
          <w:szCs w:val="24"/>
        </w:rPr>
      </w:pPr>
      <w:r w:rsidRPr="00BF3DD0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 w:rsidRPr="00BF3DD0">
        <w:rPr>
          <w:rFonts w:eastAsia="Times New Roman" w:cs="Times New Roman"/>
          <w:b/>
          <w:i/>
          <w:iCs/>
          <w:sz w:val="24"/>
          <w:szCs w:val="24"/>
        </w:rPr>
        <w:t xml:space="preserve">projektu </w:t>
      </w:r>
      <w:r w:rsidR="00111A34" w:rsidRPr="00111A34">
        <w:rPr>
          <w:rFonts w:eastAsia="Times New Roman" w:cs="Times New Roman"/>
          <w:b/>
          <w:i/>
          <w:iCs/>
          <w:sz w:val="24"/>
          <w:szCs w:val="24"/>
        </w:rPr>
        <w:t>ustawy o zmianie ustawy o krajowym systemie</w:t>
      </w:r>
      <w:r w:rsidR="00111A34">
        <w:rPr>
          <w:rFonts w:eastAsia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="00111A34" w:rsidRPr="00111A34">
        <w:rPr>
          <w:rFonts w:eastAsia="Times New Roman" w:cs="Times New Roman"/>
          <w:b/>
          <w:i/>
          <w:iCs/>
          <w:sz w:val="24"/>
          <w:szCs w:val="24"/>
        </w:rPr>
        <w:t>cyberbezpieczeństwa</w:t>
      </w:r>
      <w:proofErr w:type="spellEnd"/>
      <w:r w:rsidR="00111A34" w:rsidRPr="00111A34">
        <w:rPr>
          <w:rFonts w:eastAsia="Times New Roman" w:cs="Times New Roman"/>
          <w:b/>
          <w:i/>
          <w:iCs/>
          <w:sz w:val="24"/>
          <w:szCs w:val="24"/>
        </w:rPr>
        <w:t xml:space="preserve"> oraz ustawy – Prawo zamówień publicznych</w:t>
      </w:r>
      <w:r w:rsidRPr="00BF3DD0">
        <w:rPr>
          <w:rFonts w:eastAsia="Times New Roman" w:cs="Times New Roman"/>
          <w:b/>
          <w:i/>
          <w:iCs/>
          <w:sz w:val="24"/>
          <w:szCs w:val="24"/>
        </w:rPr>
        <w:t xml:space="preserve">, </w:t>
      </w:r>
      <w:r w:rsidRPr="00BF3DD0">
        <w:rPr>
          <w:rFonts w:eastAsia="Times New Roman" w:cs="Times New Roman"/>
          <w:b/>
          <w:sz w:val="24"/>
          <w:szCs w:val="24"/>
        </w:rPr>
        <w:t xml:space="preserve">wyrażona </w:t>
      </w:r>
      <w:r w:rsidR="001A6AB1" w:rsidRPr="00BF3DD0">
        <w:rPr>
          <w:rFonts w:eastAsia="Times New Roman" w:cs="Times New Roman"/>
          <w:b/>
          <w:sz w:val="24"/>
          <w:szCs w:val="24"/>
        </w:rPr>
        <w:t>przez</w:t>
      </w:r>
      <w:r w:rsidR="001A6AB1">
        <w:rPr>
          <w:rFonts w:eastAsia="Times New Roman" w:cs="Times New Roman"/>
          <w:b/>
          <w:sz w:val="24"/>
          <w:szCs w:val="24"/>
        </w:rPr>
        <w:t> </w:t>
      </w:r>
      <w:r w:rsidRPr="00BF3DD0">
        <w:rPr>
          <w:rFonts w:eastAsia="Times New Roman" w:cs="Times New Roman"/>
          <w:b/>
          <w:sz w:val="24"/>
          <w:szCs w:val="24"/>
        </w:rPr>
        <w:t>ministra właściwego do spraw członkostwa Rzeczypospolitej Polskiej w Unii Europejskiej</w:t>
      </w:r>
    </w:p>
    <w:p w:rsidR="00E23D0D" w:rsidRDefault="00E23D0D" w:rsidP="00E23D0D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715553" w:rsidRPr="00BF3DD0" w:rsidRDefault="00715553" w:rsidP="00E23D0D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E23D0D" w:rsidRPr="00BF3DD0" w:rsidRDefault="00E23D0D" w:rsidP="00E41B3F">
      <w:pPr>
        <w:spacing w:before="120"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 w:rsidRPr="00BF3DD0">
        <w:rPr>
          <w:rFonts w:eastAsia="Times New Roman" w:cs="Times New Roman"/>
          <w:i/>
          <w:color w:val="auto"/>
          <w:sz w:val="24"/>
          <w:szCs w:val="24"/>
        </w:rPr>
        <w:t xml:space="preserve">Szanowny Panie </w:t>
      </w:r>
      <w:r w:rsidR="000A55DC">
        <w:rPr>
          <w:rFonts w:eastAsia="Times New Roman" w:cs="Times New Roman"/>
          <w:i/>
          <w:color w:val="auto"/>
          <w:sz w:val="24"/>
          <w:szCs w:val="24"/>
        </w:rPr>
        <w:t>Premierze</w:t>
      </w:r>
      <w:r w:rsidRPr="00BF3DD0">
        <w:rPr>
          <w:rFonts w:eastAsia="Times New Roman" w:cs="Times New Roman"/>
          <w:i/>
          <w:color w:val="auto"/>
          <w:sz w:val="24"/>
          <w:szCs w:val="24"/>
        </w:rPr>
        <w:t xml:space="preserve">,      </w:t>
      </w:r>
    </w:p>
    <w:p w:rsidR="00B9144F" w:rsidRPr="00BF3DD0" w:rsidRDefault="00B9144F" w:rsidP="00E41B3F">
      <w:pPr>
        <w:spacing w:before="120"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BF3DD0"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 w:rsidRPr="00BF3DD0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A208A3">
        <w:rPr>
          <w:rFonts w:eastAsia="Times New Roman" w:cs="Times New Roman"/>
          <w:color w:val="auto"/>
          <w:sz w:val="24"/>
          <w:szCs w:val="24"/>
        </w:rPr>
        <w:t xml:space="preserve">ustawy </w:t>
      </w:r>
      <w:r w:rsidRPr="00BF3DD0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:rsidR="003076D1" w:rsidRDefault="00111A34" w:rsidP="00715553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080A4F">
        <w:rPr>
          <w:rFonts w:eastAsia="Times New Roman" w:cs="Times New Roman"/>
          <w:color w:val="auto"/>
          <w:sz w:val="24"/>
          <w:szCs w:val="24"/>
        </w:rPr>
        <w:t xml:space="preserve">W projektowanym art. 1 pkt 2 lit. b </w:t>
      </w:r>
      <w:r w:rsidR="002E77D1" w:rsidRPr="00080A4F">
        <w:rPr>
          <w:rFonts w:eastAsia="Times New Roman" w:cs="Times New Roman"/>
          <w:color w:val="auto"/>
          <w:sz w:val="24"/>
          <w:szCs w:val="24"/>
        </w:rPr>
        <w:t xml:space="preserve">(dodawany do </w:t>
      </w:r>
      <w:r w:rsidR="002E77D1" w:rsidRPr="00080A4F">
        <w:rPr>
          <w:rFonts w:eastAsia="Times New Roman" w:cs="Times New Roman"/>
          <w:i/>
          <w:color w:val="auto"/>
          <w:sz w:val="24"/>
          <w:szCs w:val="24"/>
        </w:rPr>
        <w:t xml:space="preserve">ustawy o krajowym systemie </w:t>
      </w:r>
      <w:proofErr w:type="spellStart"/>
      <w:r w:rsidR="002E77D1" w:rsidRPr="00080A4F">
        <w:rPr>
          <w:rFonts w:eastAsia="Times New Roman" w:cs="Times New Roman"/>
          <w:i/>
          <w:color w:val="auto"/>
          <w:sz w:val="24"/>
          <w:szCs w:val="24"/>
        </w:rPr>
        <w:t>cyberbezpieczeństwa</w:t>
      </w:r>
      <w:proofErr w:type="spellEnd"/>
      <w:r w:rsidR="002E77D1" w:rsidRPr="00715553">
        <w:rPr>
          <w:rFonts w:eastAsia="Times New Roman" w:cs="Times New Roman"/>
          <w:color w:val="auto"/>
          <w:sz w:val="24"/>
          <w:szCs w:val="24"/>
        </w:rPr>
        <w:t xml:space="preserve"> pkt 8a w art. 2) </w:t>
      </w:r>
      <w:r w:rsidRPr="00715553">
        <w:rPr>
          <w:rFonts w:eastAsia="Times New Roman" w:cs="Times New Roman"/>
          <w:color w:val="auto"/>
          <w:sz w:val="24"/>
          <w:szCs w:val="24"/>
        </w:rPr>
        <w:t>wprowadzono definicję incydentu telekomunikacyjnego, zgodnie z którą incydentem telekomunikacyjnym jest incydent, który</w:t>
      </w:r>
      <w:r w:rsidR="000426C9">
        <w:rPr>
          <w:rFonts w:eastAsia="Times New Roman" w:cs="Times New Roman"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color w:val="auto"/>
          <w:sz w:val="24"/>
          <w:szCs w:val="24"/>
        </w:rPr>
        <w:t>powoduje lub może spowodować poważne obniżenie jakości lub przerwanie ciągłości świadczenia usługi komunikacji elektronicznej. W tym kontekście chciałbym wskazać na</w:t>
      </w:r>
      <w:r w:rsidR="00036215" w:rsidRPr="00715553">
        <w:rPr>
          <w:rFonts w:eastAsia="Times New Roman" w:cs="Times New Roman"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i/>
          <w:color w:val="auto"/>
          <w:sz w:val="24"/>
          <w:szCs w:val="24"/>
        </w:rPr>
        <w:t>dyrektywę Parlamentu Europejskiego i Rady (UE) 2016/1148 z dnia 6 lipca 2016 r. w</w:t>
      </w:r>
      <w:r w:rsidR="00D6419C">
        <w:rPr>
          <w:rFonts w:eastAsia="Times New Roman" w:cs="Times New Roman"/>
          <w:i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i/>
          <w:color w:val="auto"/>
          <w:sz w:val="24"/>
          <w:szCs w:val="24"/>
        </w:rPr>
        <w:t>sprawie środków na rzecz wysokiego wspólnego poziomu bezpieczeństwa sieci</w:t>
      </w:r>
      <w:r w:rsidR="000426C9">
        <w:rPr>
          <w:rFonts w:eastAsia="Times New Roman" w:cs="Times New Roman"/>
          <w:i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i/>
          <w:color w:val="auto"/>
          <w:sz w:val="24"/>
          <w:szCs w:val="24"/>
        </w:rPr>
        <w:t>i</w:t>
      </w:r>
      <w:r w:rsidR="00D6419C">
        <w:rPr>
          <w:rFonts w:eastAsia="Times New Roman" w:cs="Times New Roman"/>
          <w:i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i/>
          <w:color w:val="auto"/>
          <w:sz w:val="24"/>
          <w:szCs w:val="24"/>
        </w:rPr>
        <w:t>systemów informatycznych na terytorium Unii</w:t>
      </w:r>
      <w:r w:rsidRPr="00715553">
        <w:rPr>
          <w:rFonts w:eastAsia="Times New Roman" w:cs="Times New Roman"/>
          <w:color w:val="auto"/>
          <w:sz w:val="24"/>
          <w:szCs w:val="24"/>
        </w:rPr>
        <w:t xml:space="preserve">, która </w:t>
      </w:r>
      <w:r w:rsidR="001A6AB1" w:rsidRPr="00715553">
        <w:rPr>
          <w:rFonts w:eastAsia="Times New Roman" w:cs="Times New Roman"/>
          <w:color w:val="auto"/>
          <w:sz w:val="24"/>
          <w:szCs w:val="24"/>
        </w:rPr>
        <w:t xml:space="preserve">zawiera </w:t>
      </w:r>
      <w:r w:rsidRPr="00715553">
        <w:rPr>
          <w:rFonts w:eastAsia="Times New Roman" w:cs="Times New Roman"/>
          <w:color w:val="auto"/>
          <w:sz w:val="24"/>
          <w:szCs w:val="24"/>
        </w:rPr>
        <w:t xml:space="preserve">definicję </w:t>
      </w:r>
      <w:r w:rsidR="001A6AB1" w:rsidRPr="00715553">
        <w:rPr>
          <w:rFonts w:eastAsia="Times New Roman" w:cs="Times New Roman"/>
          <w:color w:val="auto"/>
          <w:sz w:val="24"/>
          <w:szCs w:val="24"/>
        </w:rPr>
        <w:t xml:space="preserve">pojęcia </w:t>
      </w:r>
      <w:r w:rsidRPr="00715553">
        <w:rPr>
          <w:rFonts w:eastAsia="Times New Roman" w:cs="Times New Roman"/>
          <w:color w:val="auto"/>
          <w:sz w:val="24"/>
          <w:szCs w:val="24"/>
        </w:rPr>
        <w:t>„incydent</w:t>
      </w:r>
      <w:r w:rsidR="001A6AB1" w:rsidRPr="00715553">
        <w:rPr>
          <w:rFonts w:eastAsia="Times New Roman" w:cs="Times New Roman"/>
          <w:color w:val="auto"/>
          <w:sz w:val="24"/>
          <w:szCs w:val="24"/>
        </w:rPr>
        <w:t xml:space="preserve">”. Zgodnie z tą definicją incydentem jest </w:t>
      </w:r>
      <w:r w:rsidRPr="00715553">
        <w:rPr>
          <w:rFonts w:eastAsia="Times New Roman" w:cs="Times New Roman"/>
          <w:color w:val="auto"/>
          <w:sz w:val="24"/>
          <w:szCs w:val="24"/>
        </w:rPr>
        <w:t>każde zdarzenie, które ma rzeczywiście niekorzystny wpływ na bezpieczeństwo sieci i</w:t>
      </w:r>
      <w:r w:rsidR="00036215" w:rsidRPr="00715553">
        <w:rPr>
          <w:rFonts w:eastAsia="Times New Roman" w:cs="Times New Roman"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color w:val="auto"/>
          <w:sz w:val="24"/>
          <w:szCs w:val="24"/>
        </w:rPr>
        <w:t xml:space="preserve">systemów informatycznych. </w:t>
      </w:r>
    </w:p>
    <w:p w:rsidR="00AA564B" w:rsidRDefault="00E20988" w:rsidP="00715553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080A4F">
        <w:rPr>
          <w:rFonts w:eastAsia="Times New Roman" w:cs="Times New Roman"/>
          <w:color w:val="auto"/>
          <w:sz w:val="24"/>
          <w:szCs w:val="24"/>
        </w:rPr>
        <w:t>Projektowa</w:t>
      </w:r>
      <w:r w:rsidR="00B14CE8">
        <w:rPr>
          <w:rFonts w:eastAsia="Times New Roman" w:cs="Times New Roman"/>
          <w:color w:val="auto"/>
          <w:sz w:val="24"/>
          <w:szCs w:val="24"/>
        </w:rPr>
        <w:t>na</w:t>
      </w:r>
      <w:r w:rsidRPr="00080A4F">
        <w:rPr>
          <w:rFonts w:eastAsia="Times New Roman" w:cs="Times New Roman"/>
          <w:color w:val="auto"/>
          <w:sz w:val="24"/>
          <w:szCs w:val="24"/>
        </w:rPr>
        <w:t xml:space="preserve"> ustawa przewiduje odrębny</w:t>
      </w:r>
      <w:r w:rsidRPr="00715553">
        <w:rPr>
          <w:rFonts w:eastAsia="Times New Roman" w:cs="Times New Roman"/>
          <w:color w:val="auto"/>
          <w:sz w:val="24"/>
          <w:szCs w:val="24"/>
        </w:rPr>
        <w:t xml:space="preserve"> od obecnie obowiązującego reżim postepowania </w:t>
      </w:r>
      <w:r w:rsidR="00C75C0C" w:rsidRPr="00715553">
        <w:rPr>
          <w:rFonts w:eastAsia="Times New Roman" w:cs="Times New Roman"/>
          <w:color w:val="auto"/>
          <w:sz w:val="24"/>
          <w:szCs w:val="24"/>
        </w:rPr>
        <w:t xml:space="preserve">w przypadku wystąpienia incydentu </w:t>
      </w:r>
      <w:r w:rsidRPr="00715553">
        <w:rPr>
          <w:rFonts w:eastAsia="Times New Roman" w:cs="Times New Roman"/>
          <w:color w:val="auto"/>
          <w:sz w:val="24"/>
          <w:szCs w:val="24"/>
        </w:rPr>
        <w:t>telekomunikacyjn</w:t>
      </w:r>
      <w:r w:rsidR="00C75C0C" w:rsidRPr="00715553">
        <w:rPr>
          <w:rFonts w:eastAsia="Times New Roman" w:cs="Times New Roman"/>
          <w:color w:val="auto"/>
          <w:sz w:val="24"/>
          <w:szCs w:val="24"/>
        </w:rPr>
        <w:t>ego</w:t>
      </w:r>
      <w:r w:rsidR="003076D1" w:rsidRPr="00715553">
        <w:rPr>
          <w:rFonts w:eastAsia="Times New Roman" w:cs="Times New Roman"/>
          <w:color w:val="auto"/>
          <w:sz w:val="24"/>
          <w:szCs w:val="24"/>
        </w:rPr>
        <w:t>. Wskazać należy, że incydent telekomunikacyjny może być objęty zakresem stosowania dyrektywy 2016/1148, w</w:t>
      </w:r>
      <w:r w:rsidR="00D6419C">
        <w:rPr>
          <w:rFonts w:eastAsia="Times New Roman" w:cs="Times New Roman"/>
          <w:color w:val="auto"/>
          <w:sz w:val="24"/>
          <w:szCs w:val="24"/>
        </w:rPr>
        <w:t> </w:t>
      </w:r>
      <w:r w:rsidR="003076D1">
        <w:rPr>
          <w:rFonts w:eastAsia="Times New Roman" w:cs="Times New Roman"/>
          <w:color w:val="auto"/>
          <w:sz w:val="24"/>
          <w:szCs w:val="24"/>
        </w:rPr>
        <w:t>szczególności jeśli ma istotny</w:t>
      </w:r>
      <w:r w:rsidR="003076D1" w:rsidRPr="003076D1">
        <w:rPr>
          <w:rFonts w:eastAsia="Times New Roman" w:cs="Times New Roman"/>
          <w:color w:val="auto"/>
          <w:sz w:val="24"/>
          <w:szCs w:val="24"/>
        </w:rPr>
        <w:t xml:space="preserve"> wpływ na świadczenie usługi cyfrowej w rozumieniu art. 4 </w:t>
      </w:r>
      <w:r w:rsidR="003076D1" w:rsidRPr="00715553">
        <w:rPr>
          <w:rFonts w:eastAsia="Times New Roman" w:cs="Times New Roman"/>
          <w:i/>
          <w:color w:val="auto"/>
          <w:sz w:val="24"/>
          <w:szCs w:val="24"/>
        </w:rPr>
        <w:t xml:space="preserve">rozporządzenia wykonawczego Komisji (UE) 2018/151 z dnia 30 stycznia 2018 r. ustanawiającego zasady stosowania dyrektywy Parlamentu Europejskiego i Rady (UE) 2016/1148 w odniesieniu do dalszego doprecyzowania elementów, jakie mają być uwzględnione przez dostawców usług cyfrowych w zakresie zarządzania istniejącymi </w:t>
      </w:r>
      <w:proofErr w:type="spellStart"/>
      <w:r w:rsidR="003076D1" w:rsidRPr="00715553">
        <w:rPr>
          <w:rFonts w:eastAsia="Times New Roman" w:cs="Times New Roman"/>
          <w:i/>
          <w:color w:val="auto"/>
          <w:sz w:val="24"/>
          <w:szCs w:val="24"/>
        </w:rPr>
        <w:t>ryzykami</w:t>
      </w:r>
      <w:proofErr w:type="spellEnd"/>
      <w:r w:rsidR="003076D1" w:rsidRPr="00715553">
        <w:rPr>
          <w:rFonts w:eastAsia="Times New Roman" w:cs="Times New Roman"/>
          <w:i/>
          <w:color w:val="auto"/>
          <w:sz w:val="24"/>
          <w:szCs w:val="24"/>
        </w:rPr>
        <w:t xml:space="preserve"> dla bezpieczeństwa sieci i systemów informatycznych, oraz parametrów służących do określenia, czy incydent ma istotny wpływ</w:t>
      </w:r>
      <w:r w:rsidR="003076D1">
        <w:rPr>
          <w:rFonts w:eastAsia="Times New Roman" w:cs="Times New Roman"/>
          <w:color w:val="auto"/>
          <w:sz w:val="24"/>
          <w:szCs w:val="24"/>
        </w:rPr>
        <w:t xml:space="preserve">. </w:t>
      </w:r>
      <w:r w:rsidR="00520CF9">
        <w:rPr>
          <w:rFonts w:eastAsia="Times New Roman" w:cs="Times New Roman"/>
          <w:color w:val="auto"/>
          <w:sz w:val="24"/>
          <w:szCs w:val="24"/>
        </w:rPr>
        <w:t>Z projektowanych przepisów nie wynika jednak, że przedsiębiorca komunikacji elektronicznej</w:t>
      </w:r>
      <w:r w:rsidR="00D6419C">
        <w:rPr>
          <w:rFonts w:eastAsia="Times New Roman" w:cs="Times New Roman"/>
          <w:color w:val="auto"/>
          <w:sz w:val="24"/>
          <w:szCs w:val="24"/>
        </w:rPr>
        <w:t>,</w:t>
      </w:r>
      <w:r w:rsidR="00520CF9">
        <w:rPr>
          <w:rFonts w:eastAsia="Times New Roman" w:cs="Times New Roman"/>
          <w:color w:val="auto"/>
          <w:sz w:val="24"/>
          <w:szCs w:val="24"/>
        </w:rPr>
        <w:t xml:space="preserve"> w przypadku gdy incydent telekomunikacyjny jest również incydentem w rozumieniu dyrektywy </w:t>
      </w:r>
      <w:r w:rsidR="00520CF9" w:rsidRPr="00520CF9">
        <w:rPr>
          <w:rFonts w:eastAsia="Times New Roman" w:cs="Times New Roman"/>
          <w:color w:val="auto"/>
          <w:sz w:val="24"/>
          <w:szCs w:val="24"/>
        </w:rPr>
        <w:t>2016/11</w:t>
      </w:r>
      <w:r w:rsidR="00520CF9">
        <w:rPr>
          <w:rFonts w:eastAsia="Times New Roman" w:cs="Times New Roman"/>
          <w:color w:val="auto"/>
          <w:sz w:val="24"/>
          <w:szCs w:val="24"/>
        </w:rPr>
        <w:t>48 oraz</w:t>
      </w:r>
      <w:r w:rsidR="000426C9">
        <w:rPr>
          <w:rFonts w:eastAsia="Times New Roman" w:cs="Times New Roman"/>
          <w:color w:val="auto"/>
          <w:sz w:val="24"/>
          <w:szCs w:val="24"/>
        </w:rPr>
        <w:t> </w:t>
      </w:r>
      <w:r w:rsidR="00520CF9">
        <w:rPr>
          <w:rFonts w:eastAsia="Times New Roman" w:cs="Times New Roman"/>
          <w:color w:val="auto"/>
          <w:sz w:val="24"/>
          <w:szCs w:val="24"/>
        </w:rPr>
        <w:t xml:space="preserve">rozporządzenia wykonawczego </w:t>
      </w:r>
      <w:r w:rsidR="00520CF9" w:rsidRPr="00520CF9">
        <w:rPr>
          <w:rFonts w:eastAsia="Times New Roman" w:cs="Times New Roman"/>
          <w:color w:val="auto"/>
          <w:sz w:val="24"/>
          <w:szCs w:val="24"/>
        </w:rPr>
        <w:t>2018/151</w:t>
      </w:r>
      <w:r w:rsidR="00D6419C">
        <w:rPr>
          <w:rFonts w:eastAsia="Times New Roman" w:cs="Times New Roman"/>
          <w:color w:val="auto"/>
          <w:sz w:val="24"/>
          <w:szCs w:val="24"/>
        </w:rPr>
        <w:t>,</w:t>
      </w:r>
      <w:r w:rsidR="00520CF9">
        <w:rPr>
          <w:rFonts w:eastAsia="Times New Roman" w:cs="Times New Roman"/>
          <w:color w:val="auto"/>
          <w:sz w:val="24"/>
          <w:szCs w:val="24"/>
        </w:rPr>
        <w:t xml:space="preserve"> powinien podjąć działania właściwe dla</w:t>
      </w:r>
      <w:r w:rsidR="000426C9">
        <w:rPr>
          <w:rFonts w:eastAsia="Times New Roman" w:cs="Times New Roman"/>
          <w:color w:val="auto"/>
          <w:sz w:val="24"/>
          <w:szCs w:val="24"/>
        </w:rPr>
        <w:t> </w:t>
      </w:r>
      <w:r w:rsidR="00520CF9">
        <w:rPr>
          <w:rFonts w:eastAsia="Times New Roman" w:cs="Times New Roman"/>
          <w:color w:val="auto"/>
          <w:sz w:val="24"/>
          <w:szCs w:val="24"/>
        </w:rPr>
        <w:t>danej kategorii incydentu.</w:t>
      </w:r>
    </w:p>
    <w:p w:rsidR="00520CF9" w:rsidRPr="00080A4F" w:rsidRDefault="00520CF9" w:rsidP="00715553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 xml:space="preserve">W związku z powyższym obowiązki przedsiębiorcy komunikacji elektronicznej powinny zostać rozszerzone o obowiązki wynikające z </w:t>
      </w:r>
      <w:r w:rsidRPr="00D6419C">
        <w:rPr>
          <w:rFonts w:eastAsia="Times New Roman" w:cs="Times New Roman"/>
          <w:i/>
          <w:color w:val="auto"/>
          <w:sz w:val="24"/>
          <w:szCs w:val="24"/>
        </w:rPr>
        <w:t xml:space="preserve">ustawy o krajowym systemie </w:t>
      </w:r>
      <w:proofErr w:type="spellStart"/>
      <w:r w:rsidRPr="00D6419C">
        <w:rPr>
          <w:rFonts w:eastAsia="Times New Roman" w:cs="Times New Roman"/>
          <w:i/>
          <w:color w:val="auto"/>
          <w:sz w:val="24"/>
          <w:szCs w:val="24"/>
        </w:rPr>
        <w:t>cyberbezpieczeństwa</w:t>
      </w:r>
      <w:proofErr w:type="spellEnd"/>
      <w:r>
        <w:rPr>
          <w:rFonts w:eastAsia="Times New Roman" w:cs="Times New Roman"/>
          <w:color w:val="auto"/>
          <w:sz w:val="24"/>
          <w:szCs w:val="24"/>
        </w:rPr>
        <w:t xml:space="preserve"> w odniesieniu do każdej z kategorii incydentu, a </w:t>
      </w:r>
      <w:r w:rsidR="007F2827">
        <w:rPr>
          <w:rFonts w:eastAsia="Times New Roman" w:cs="Times New Roman"/>
          <w:color w:val="auto"/>
          <w:sz w:val="24"/>
          <w:szCs w:val="24"/>
        </w:rPr>
        <w:t xml:space="preserve">w </w:t>
      </w:r>
      <w:r>
        <w:rPr>
          <w:rFonts w:eastAsia="Times New Roman" w:cs="Times New Roman"/>
          <w:color w:val="auto"/>
          <w:sz w:val="24"/>
          <w:szCs w:val="24"/>
        </w:rPr>
        <w:t>szczególności do</w:t>
      </w:r>
      <w:r w:rsidR="000426C9">
        <w:rPr>
          <w:rFonts w:eastAsia="Times New Roman" w:cs="Times New Roman"/>
          <w:color w:val="auto"/>
          <w:sz w:val="24"/>
          <w:szCs w:val="24"/>
        </w:rPr>
        <w:t> </w:t>
      </w:r>
      <w:r>
        <w:rPr>
          <w:rFonts w:eastAsia="Times New Roman" w:cs="Times New Roman"/>
          <w:color w:val="auto"/>
          <w:sz w:val="24"/>
          <w:szCs w:val="24"/>
        </w:rPr>
        <w:t>incydentu istotnego, zgodnie z rozporządzeniem</w:t>
      </w:r>
      <w:r w:rsidRPr="00520CF9">
        <w:rPr>
          <w:rFonts w:eastAsia="Times New Roman" w:cs="Times New Roman"/>
          <w:color w:val="auto"/>
          <w:sz w:val="24"/>
          <w:szCs w:val="24"/>
        </w:rPr>
        <w:t xml:space="preserve"> wykonawcz</w:t>
      </w:r>
      <w:r>
        <w:rPr>
          <w:rFonts w:eastAsia="Times New Roman" w:cs="Times New Roman"/>
          <w:color w:val="auto"/>
          <w:sz w:val="24"/>
          <w:szCs w:val="24"/>
        </w:rPr>
        <w:t>ym</w:t>
      </w:r>
      <w:r w:rsidRPr="00520CF9">
        <w:rPr>
          <w:rFonts w:eastAsia="Times New Roman" w:cs="Times New Roman"/>
          <w:color w:val="auto"/>
          <w:sz w:val="24"/>
          <w:szCs w:val="24"/>
        </w:rPr>
        <w:t xml:space="preserve"> 2018/151</w:t>
      </w:r>
      <w:r>
        <w:rPr>
          <w:rFonts w:eastAsia="Times New Roman" w:cs="Times New Roman"/>
          <w:color w:val="auto"/>
          <w:sz w:val="24"/>
          <w:szCs w:val="24"/>
        </w:rPr>
        <w:t>.</w:t>
      </w:r>
    </w:p>
    <w:p w:rsidR="00C108A4" w:rsidRPr="00CD33CB" w:rsidRDefault="00080A4F" w:rsidP="00080A4F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J</w:t>
      </w:r>
      <w:r w:rsidR="00F90DE4">
        <w:rPr>
          <w:rFonts w:eastAsia="Times New Roman" w:cs="Times New Roman"/>
          <w:color w:val="auto"/>
          <w:sz w:val="24"/>
          <w:szCs w:val="24"/>
        </w:rPr>
        <w:t xml:space="preserve">eśli przedsiębiorca komunikacji elektronicznej świadczy usługi kluczowe (usługi DNS, prowadzi </w:t>
      </w:r>
      <w:r w:rsidR="00F90DE4" w:rsidRPr="00F90DE4">
        <w:rPr>
          <w:rFonts w:eastAsia="Times New Roman" w:cs="Times New Roman"/>
          <w:color w:val="auto"/>
          <w:sz w:val="24"/>
          <w:szCs w:val="24"/>
        </w:rPr>
        <w:t>punkt wymiany ruchu internetowego (IXP)</w:t>
      </w:r>
      <w:r w:rsidR="00F90DE4">
        <w:rPr>
          <w:rFonts w:eastAsia="Times New Roman" w:cs="Times New Roman"/>
          <w:color w:val="auto"/>
          <w:sz w:val="24"/>
          <w:szCs w:val="24"/>
        </w:rPr>
        <w:t xml:space="preserve"> oraz zarządza </w:t>
      </w:r>
      <w:r w:rsidR="00F90DE4" w:rsidRPr="00F90DE4">
        <w:rPr>
          <w:rFonts w:eastAsia="Times New Roman" w:cs="Times New Roman"/>
          <w:color w:val="auto"/>
          <w:sz w:val="24"/>
          <w:szCs w:val="24"/>
        </w:rPr>
        <w:t>rejestracją internetowych nazw domen w ramach domeny najwyższego poziomu (TLD)</w:t>
      </w:r>
      <w:r w:rsidR="00F90DE4">
        <w:rPr>
          <w:rFonts w:eastAsia="Times New Roman" w:cs="Times New Roman"/>
          <w:color w:val="auto"/>
          <w:sz w:val="24"/>
          <w:szCs w:val="24"/>
        </w:rPr>
        <w:t>), powinien spełniać wymogi w zakresie bezpieczeństwa i zgłaszania incydentów</w:t>
      </w:r>
      <w:r w:rsidR="00C108A4">
        <w:rPr>
          <w:rFonts w:eastAsia="Times New Roman" w:cs="Times New Roman"/>
          <w:color w:val="auto"/>
          <w:sz w:val="24"/>
          <w:szCs w:val="24"/>
        </w:rPr>
        <w:t>, o których mowa w</w:t>
      </w:r>
      <w:r w:rsidR="00036215">
        <w:rPr>
          <w:rFonts w:eastAsia="Times New Roman" w:cs="Times New Roman"/>
          <w:color w:val="auto"/>
          <w:sz w:val="24"/>
          <w:szCs w:val="24"/>
        </w:rPr>
        <w:t> </w:t>
      </w:r>
      <w:r w:rsidR="00F90DE4">
        <w:rPr>
          <w:rFonts w:eastAsia="Times New Roman" w:cs="Times New Roman"/>
          <w:color w:val="auto"/>
          <w:sz w:val="24"/>
          <w:szCs w:val="24"/>
        </w:rPr>
        <w:t>art.</w:t>
      </w:r>
      <w:r w:rsidR="00C108A4">
        <w:rPr>
          <w:rFonts w:eastAsia="Times New Roman" w:cs="Times New Roman"/>
          <w:color w:val="auto"/>
          <w:sz w:val="24"/>
          <w:szCs w:val="24"/>
        </w:rPr>
        <w:t> </w:t>
      </w:r>
      <w:r w:rsidR="00F90DE4">
        <w:rPr>
          <w:rFonts w:eastAsia="Times New Roman" w:cs="Times New Roman"/>
          <w:color w:val="auto"/>
          <w:sz w:val="24"/>
          <w:szCs w:val="24"/>
        </w:rPr>
        <w:t>14 dyrektywy 2016/1148</w:t>
      </w:r>
      <w:r w:rsidR="00C108A4">
        <w:rPr>
          <w:rFonts w:eastAsia="Times New Roman" w:cs="Times New Roman"/>
          <w:color w:val="auto"/>
          <w:sz w:val="24"/>
          <w:szCs w:val="24"/>
        </w:rPr>
        <w:t xml:space="preserve">. </w:t>
      </w:r>
      <w:r w:rsidR="00697465">
        <w:rPr>
          <w:rFonts w:eastAsia="Times New Roman" w:cs="Times New Roman"/>
          <w:color w:val="auto"/>
          <w:sz w:val="24"/>
          <w:szCs w:val="24"/>
        </w:rPr>
        <w:t>W szczególności obowiązki w odniesieniu do wdrożenia systemu zarz</w:t>
      </w:r>
      <w:r w:rsidR="006F53B4">
        <w:rPr>
          <w:rFonts w:eastAsia="Times New Roman" w:cs="Times New Roman"/>
          <w:color w:val="auto"/>
          <w:sz w:val="24"/>
          <w:szCs w:val="24"/>
        </w:rPr>
        <w:t>ą</w:t>
      </w:r>
      <w:r w:rsidR="00697465">
        <w:rPr>
          <w:rFonts w:eastAsia="Times New Roman" w:cs="Times New Roman"/>
          <w:color w:val="auto"/>
          <w:sz w:val="24"/>
          <w:szCs w:val="24"/>
        </w:rPr>
        <w:t xml:space="preserve">dzania </w:t>
      </w:r>
      <w:r w:rsidR="00697465" w:rsidRPr="00697465">
        <w:rPr>
          <w:rFonts w:eastAsia="Times New Roman" w:cs="Times New Roman"/>
          <w:color w:val="auto"/>
          <w:sz w:val="24"/>
          <w:szCs w:val="24"/>
        </w:rPr>
        <w:t>bezpieczeństwem w systemie informacyjnym wykorzystywanym do</w:t>
      </w:r>
      <w:r w:rsidR="000426C9">
        <w:rPr>
          <w:rFonts w:eastAsia="Times New Roman" w:cs="Times New Roman"/>
          <w:color w:val="auto"/>
          <w:sz w:val="24"/>
          <w:szCs w:val="24"/>
        </w:rPr>
        <w:t> </w:t>
      </w:r>
      <w:r w:rsidR="00697465" w:rsidRPr="00697465">
        <w:rPr>
          <w:rFonts w:eastAsia="Times New Roman" w:cs="Times New Roman"/>
          <w:color w:val="auto"/>
          <w:sz w:val="24"/>
          <w:szCs w:val="24"/>
        </w:rPr>
        <w:t>świadczenia usługi kluczowej</w:t>
      </w:r>
      <w:r w:rsidR="00697465">
        <w:rPr>
          <w:rFonts w:eastAsia="Times New Roman" w:cs="Times New Roman"/>
          <w:color w:val="auto"/>
          <w:sz w:val="24"/>
          <w:szCs w:val="24"/>
        </w:rPr>
        <w:t xml:space="preserve"> (art. 8 </w:t>
      </w:r>
      <w:r w:rsidR="00697465" w:rsidRPr="00D6419C">
        <w:rPr>
          <w:rFonts w:eastAsia="Times New Roman" w:cs="Times New Roman"/>
          <w:i/>
          <w:color w:val="auto"/>
          <w:sz w:val="24"/>
          <w:szCs w:val="24"/>
        </w:rPr>
        <w:t xml:space="preserve">ustawy  o krajowym systemie </w:t>
      </w:r>
      <w:proofErr w:type="spellStart"/>
      <w:r w:rsidR="00697465" w:rsidRPr="00D6419C">
        <w:rPr>
          <w:rFonts w:eastAsia="Times New Roman" w:cs="Times New Roman"/>
          <w:i/>
          <w:color w:val="auto"/>
          <w:sz w:val="24"/>
          <w:szCs w:val="24"/>
        </w:rPr>
        <w:t>cyberbezpieczeństwa</w:t>
      </w:r>
      <w:proofErr w:type="spellEnd"/>
      <w:r w:rsidR="00697465">
        <w:rPr>
          <w:rFonts w:eastAsia="Times New Roman" w:cs="Times New Roman"/>
          <w:color w:val="auto"/>
          <w:sz w:val="24"/>
          <w:szCs w:val="24"/>
        </w:rPr>
        <w:t>)</w:t>
      </w:r>
      <w:r w:rsidR="001C5E5C">
        <w:rPr>
          <w:rFonts w:eastAsia="Times New Roman" w:cs="Times New Roman"/>
          <w:color w:val="auto"/>
          <w:sz w:val="24"/>
          <w:szCs w:val="24"/>
        </w:rPr>
        <w:t>, obowiązk</w:t>
      </w:r>
      <w:r w:rsidR="000426C9">
        <w:rPr>
          <w:rFonts w:eastAsia="Times New Roman" w:cs="Times New Roman"/>
          <w:color w:val="auto"/>
          <w:sz w:val="24"/>
          <w:szCs w:val="24"/>
        </w:rPr>
        <w:t>i</w:t>
      </w:r>
      <w:r w:rsidR="001C5E5C">
        <w:rPr>
          <w:rFonts w:eastAsia="Times New Roman" w:cs="Times New Roman"/>
          <w:color w:val="auto"/>
          <w:sz w:val="24"/>
          <w:szCs w:val="24"/>
        </w:rPr>
        <w:t xml:space="preserve"> operatora usługi kluczowej (art. 9</w:t>
      </w:r>
      <w:r w:rsidR="008A4E9F">
        <w:rPr>
          <w:rFonts w:eastAsia="Times New Roman" w:cs="Times New Roman"/>
          <w:color w:val="auto"/>
          <w:sz w:val="24"/>
          <w:szCs w:val="24"/>
        </w:rPr>
        <w:t>,</w:t>
      </w:r>
      <w:r w:rsidR="001C5E5C">
        <w:rPr>
          <w:rFonts w:eastAsia="Times New Roman" w:cs="Times New Roman"/>
          <w:color w:val="auto"/>
          <w:sz w:val="24"/>
          <w:szCs w:val="24"/>
        </w:rPr>
        <w:t xml:space="preserve"> 10</w:t>
      </w:r>
      <w:r w:rsidR="008A4E9F">
        <w:rPr>
          <w:rFonts w:eastAsia="Times New Roman" w:cs="Times New Roman"/>
          <w:color w:val="auto"/>
          <w:sz w:val="24"/>
          <w:szCs w:val="24"/>
        </w:rPr>
        <w:t>, 11</w:t>
      </w:r>
      <w:r w:rsidR="001C5E5C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1C5E5C" w:rsidRPr="00D6419C">
        <w:rPr>
          <w:rFonts w:eastAsia="Times New Roman" w:cs="Times New Roman"/>
          <w:i/>
          <w:color w:val="auto"/>
          <w:sz w:val="24"/>
          <w:szCs w:val="24"/>
        </w:rPr>
        <w:t xml:space="preserve">ustawy o krajowym systemie </w:t>
      </w:r>
      <w:proofErr w:type="spellStart"/>
      <w:r w:rsidR="001C5E5C" w:rsidRPr="00D6419C">
        <w:rPr>
          <w:rFonts w:eastAsia="Times New Roman" w:cs="Times New Roman"/>
          <w:i/>
          <w:color w:val="auto"/>
          <w:sz w:val="24"/>
          <w:szCs w:val="24"/>
        </w:rPr>
        <w:t>cyberbezpieczeństwa</w:t>
      </w:r>
      <w:proofErr w:type="spellEnd"/>
      <w:r w:rsidR="008A4E9F">
        <w:rPr>
          <w:rFonts w:eastAsia="Times New Roman" w:cs="Times New Roman"/>
          <w:color w:val="auto"/>
          <w:sz w:val="24"/>
          <w:szCs w:val="24"/>
        </w:rPr>
        <w:t xml:space="preserve">), które wdrażają art. 14 dyrektywy. </w:t>
      </w:r>
      <w:r w:rsidR="008A4E9F" w:rsidRPr="00CD33CB">
        <w:rPr>
          <w:rFonts w:eastAsia="Times New Roman" w:cs="Times New Roman"/>
          <w:color w:val="auto"/>
          <w:sz w:val="24"/>
          <w:szCs w:val="24"/>
        </w:rPr>
        <w:t>W projektowanej ustawie nie</w:t>
      </w:r>
      <w:r w:rsidR="00994CB0">
        <w:rPr>
          <w:rFonts w:eastAsia="Times New Roman" w:cs="Times New Roman"/>
          <w:color w:val="auto"/>
          <w:sz w:val="24"/>
          <w:szCs w:val="24"/>
        </w:rPr>
        <w:t> </w:t>
      </w:r>
      <w:r w:rsidR="008A4E9F" w:rsidRPr="00CD33CB">
        <w:rPr>
          <w:rFonts w:eastAsia="Times New Roman" w:cs="Times New Roman"/>
          <w:color w:val="auto"/>
          <w:sz w:val="24"/>
          <w:szCs w:val="24"/>
        </w:rPr>
        <w:t>przewidziano jednak przepisu</w:t>
      </w:r>
      <w:r w:rsidR="000426C9">
        <w:rPr>
          <w:rFonts w:eastAsia="Times New Roman" w:cs="Times New Roman"/>
          <w:color w:val="auto"/>
          <w:sz w:val="24"/>
          <w:szCs w:val="24"/>
        </w:rPr>
        <w:t>,</w:t>
      </w:r>
      <w:r w:rsidR="008A4E9F" w:rsidRPr="00CD33CB">
        <w:rPr>
          <w:rFonts w:eastAsia="Times New Roman" w:cs="Times New Roman"/>
          <w:color w:val="auto"/>
          <w:sz w:val="24"/>
          <w:szCs w:val="24"/>
        </w:rPr>
        <w:t xml:space="preserve"> zgodnie z którym, w sytuacji gdy przedsiębiorca komunikacji elektronicznej </w:t>
      </w:r>
      <w:r w:rsidR="00D6419C">
        <w:rPr>
          <w:rFonts w:eastAsia="Times New Roman" w:cs="Times New Roman"/>
          <w:color w:val="auto"/>
          <w:sz w:val="24"/>
          <w:szCs w:val="24"/>
        </w:rPr>
        <w:t>jest operatorem</w:t>
      </w:r>
      <w:r w:rsidR="008A4E9F" w:rsidRPr="00CD33CB">
        <w:rPr>
          <w:rFonts w:eastAsia="Times New Roman" w:cs="Times New Roman"/>
          <w:color w:val="auto"/>
          <w:sz w:val="24"/>
          <w:szCs w:val="24"/>
        </w:rPr>
        <w:t xml:space="preserve"> usługi kluczowe</w:t>
      </w:r>
      <w:r w:rsidR="00D6419C">
        <w:rPr>
          <w:rFonts w:eastAsia="Times New Roman" w:cs="Times New Roman"/>
          <w:color w:val="auto"/>
          <w:sz w:val="24"/>
          <w:szCs w:val="24"/>
        </w:rPr>
        <w:t>j</w:t>
      </w:r>
      <w:r w:rsidR="000426C9">
        <w:rPr>
          <w:rFonts w:eastAsia="Times New Roman" w:cs="Times New Roman"/>
          <w:color w:val="auto"/>
          <w:sz w:val="24"/>
          <w:szCs w:val="24"/>
        </w:rPr>
        <w:t>,</w:t>
      </w:r>
      <w:r w:rsidR="008A4E9F" w:rsidRPr="00CD33CB">
        <w:rPr>
          <w:rFonts w:eastAsia="Times New Roman" w:cs="Times New Roman"/>
          <w:color w:val="auto"/>
          <w:sz w:val="24"/>
          <w:szCs w:val="24"/>
        </w:rPr>
        <w:t xml:space="preserve"> powinien</w:t>
      </w:r>
      <w:r w:rsidR="000A55DC">
        <w:rPr>
          <w:rFonts w:eastAsia="Times New Roman" w:cs="Times New Roman"/>
          <w:color w:val="auto"/>
          <w:sz w:val="24"/>
          <w:szCs w:val="24"/>
        </w:rPr>
        <w:t xml:space="preserve"> wypełniać powyższe obowiązki.</w:t>
      </w:r>
      <w:r w:rsidR="008A4E9F" w:rsidRPr="00CD33CB">
        <w:rPr>
          <w:rFonts w:eastAsia="Times New Roman" w:cs="Times New Roman"/>
          <w:color w:val="auto"/>
          <w:sz w:val="24"/>
          <w:szCs w:val="24"/>
        </w:rPr>
        <w:t xml:space="preserve">   </w:t>
      </w:r>
    </w:p>
    <w:p w:rsidR="00F90DE4" w:rsidRDefault="00C108A4" w:rsidP="00E41B3F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 xml:space="preserve">Ponadto, przedsiębiorca komunikacji elektronicznej, jako </w:t>
      </w:r>
      <w:r w:rsidRPr="00C108A4">
        <w:rPr>
          <w:rFonts w:eastAsia="Times New Roman" w:cs="Times New Roman"/>
          <w:color w:val="auto"/>
          <w:sz w:val="24"/>
          <w:szCs w:val="24"/>
        </w:rPr>
        <w:t>dostawc</w:t>
      </w:r>
      <w:r>
        <w:rPr>
          <w:rFonts w:eastAsia="Times New Roman" w:cs="Times New Roman"/>
          <w:color w:val="auto"/>
          <w:sz w:val="24"/>
          <w:szCs w:val="24"/>
        </w:rPr>
        <w:t>a</w:t>
      </w:r>
      <w:r w:rsidRPr="00C108A4">
        <w:rPr>
          <w:rFonts w:eastAsia="Times New Roman" w:cs="Times New Roman"/>
          <w:color w:val="auto"/>
          <w:sz w:val="24"/>
          <w:szCs w:val="24"/>
        </w:rPr>
        <w:t xml:space="preserve"> usług cyfrowych</w:t>
      </w:r>
      <w:r w:rsidR="000426C9">
        <w:rPr>
          <w:rFonts w:eastAsia="Times New Roman" w:cs="Times New Roman"/>
          <w:color w:val="auto"/>
          <w:sz w:val="24"/>
          <w:szCs w:val="24"/>
        </w:rPr>
        <w:t>,</w:t>
      </w:r>
      <w:r w:rsidRPr="00C108A4">
        <w:rPr>
          <w:rFonts w:eastAsia="Times New Roman" w:cs="Times New Roman"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 xml:space="preserve">powinien </w:t>
      </w:r>
      <w:r w:rsidR="001C5E5C">
        <w:rPr>
          <w:rFonts w:eastAsia="Times New Roman" w:cs="Times New Roman"/>
          <w:color w:val="auto"/>
          <w:sz w:val="24"/>
          <w:szCs w:val="24"/>
        </w:rPr>
        <w:t>podejmować</w:t>
      </w:r>
      <w:r w:rsidR="001C5E5C" w:rsidRPr="001C5E5C">
        <w:rPr>
          <w:rFonts w:eastAsia="Times New Roman" w:cs="Times New Roman"/>
          <w:color w:val="auto"/>
          <w:sz w:val="24"/>
          <w:szCs w:val="24"/>
        </w:rPr>
        <w:t xml:space="preserve"> właściwe i proporcjonalne środki techniczne i organizacyjne określone w rozporządzeniu wykonawczym 2018/151 w celu zarządzania ryzykiem, na jakie narażone są systemy informacyjne wykorzystywane do świadczenia usługi cyfrowej</w:t>
      </w:r>
      <w:r w:rsidR="008A4E9F">
        <w:rPr>
          <w:rFonts w:eastAsia="Times New Roman" w:cs="Times New Roman"/>
          <w:color w:val="auto"/>
          <w:sz w:val="24"/>
          <w:szCs w:val="24"/>
        </w:rPr>
        <w:t>. Z</w:t>
      </w:r>
      <w:r w:rsidR="00D6419C">
        <w:rPr>
          <w:rFonts w:eastAsia="Times New Roman" w:cs="Times New Roman"/>
          <w:color w:val="auto"/>
          <w:sz w:val="24"/>
          <w:szCs w:val="24"/>
        </w:rPr>
        <w:t> </w:t>
      </w:r>
      <w:r w:rsidR="008A4E9F">
        <w:rPr>
          <w:rFonts w:eastAsia="Times New Roman" w:cs="Times New Roman"/>
          <w:color w:val="auto"/>
          <w:sz w:val="24"/>
          <w:szCs w:val="24"/>
        </w:rPr>
        <w:t>projektowanych przepisów nie wynika jednak, że</w:t>
      </w:r>
      <w:r w:rsidR="00D6419C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8A4E9F" w:rsidRPr="008A4E9F">
        <w:rPr>
          <w:rFonts w:eastAsia="Times New Roman" w:cs="Times New Roman"/>
          <w:color w:val="auto"/>
          <w:sz w:val="24"/>
          <w:szCs w:val="24"/>
        </w:rPr>
        <w:t>przedsiębiorca komunikacji elektronicznej</w:t>
      </w:r>
      <w:r w:rsidR="008A4E9F">
        <w:rPr>
          <w:rFonts w:eastAsia="Times New Roman" w:cs="Times New Roman"/>
          <w:color w:val="auto"/>
          <w:sz w:val="24"/>
          <w:szCs w:val="24"/>
        </w:rPr>
        <w:t xml:space="preserve"> powinien również spełniać te wymogi.</w:t>
      </w:r>
    </w:p>
    <w:p w:rsidR="00C108A4" w:rsidRDefault="0090056C" w:rsidP="00E41B3F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04353F">
        <w:rPr>
          <w:rFonts w:eastAsia="Times New Roman" w:cs="Times New Roman"/>
          <w:color w:val="auto"/>
          <w:sz w:val="24"/>
          <w:szCs w:val="24"/>
        </w:rPr>
        <w:t xml:space="preserve">Wobec powyższego projektowana ustawa powinna zostać uzupełniona </w:t>
      </w:r>
      <w:r w:rsidR="00080A4F">
        <w:rPr>
          <w:rFonts w:eastAsia="Times New Roman" w:cs="Times New Roman"/>
          <w:color w:val="auto"/>
          <w:sz w:val="24"/>
          <w:szCs w:val="24"/>
        </w:rPr>
        <w:t>o wskazanie</w:t>
      </w:r>
      <w:r w:rsidRPr="0004353F">
        <w:rPr>
          <w:rFonts w:eastAsia="Times New Roman" w:cs="Times New Roman"/>
          <w:color w:val="auto"/>
          <w:sz w:val="24"/>
          <w:szCs w:val="24"/>
        </w:rPr>
        <w:t>, że</w:t>
      </w:r>
      <w:r w:rsidR="00994CB0">
        <w:rPr>
          <w:rFonts w:eastAsia="Times New Roman" w:cs="Times New Roman"/>
          <w:color w:val="auto"/>
          <w:sz w:val="24"/>
          <w:szCs w:val="24"/>
        </w:rPr>
        <w:t> </w:t>
      </w:r>
      <w:r w:rsidR="00C108A4" w:rsidRPr="005E3DD7">
        <w:rPr>
          <w:rFonts w:eastAsia="Times New Roman" w:cs="Times New Roman"/>
          <w:color w:val="auto"/>
          <w:sz w:val="24"/>
          <w:szCs w:val="24"/>
        </w:rPr>
        <w:t xml:space="preserve">przedsiębiorca </w:t>
      </w:r>
      <w:r w:rsidR="0069720F" w:rsidRPr="005E3DD7">
        <w:rPr>
          <w:rFonts w:eastAsia="Times New Roman" w:cs="Times New Roman"/>
          <w:color w:val="auto"/>
          <w:sz w:val="24"/>
          <w:szCs w:val="24"/>
        </w:rPr>
        <w:t>komunikacji elektronicznej, w przypadku uznania go za operator</w:t>
      </w:r>
      <w:r w:rsidRPr="0004353F">
        <w:rPr>
          <w:rFonts w:eastAsia="Times New Roman" w:cs="Times New Roman"/>
          <w:color w:val="auto"/>
          <w:sz w:val="24"/>
          <w:szCs w:val="24"/>
        </w:rPr>
        <w:t>a</w:t>
      </w:r>
      <w:r w:rsidR="0069720F" w:rsidRPr="0004353F">
        <w:rPr>
          <w:rFonts w:eastAsia="Times New Roman" w:cs="Times New Roman"/>
          <w:color w:val="auto"/>
          <w:sz w:val="24"/>
          <w:szCs w:val="24"/>
        </w:rPr>
        <w:t xml:space="preserve"> usługi kluczowej</w:t>
      </w:r>
      <w:r w:rsidR="000426C9">
        <w:rPr>
          <w:rFonts w:eastAsia="Times New Roman" w:cs="Times New Roman"/>
          <w:color w:val="auto"/>
          <w:sz w:val="24"/>
          <w:szCs w:val="24"/>
        </w:rPr>
        <w:t>,</w:t>
      </w:r>
      <w:r w:rsidR="0069720F" w:rsidRPr="0004353F">
        <w:rPr>
          <w:rFonts w:eastAsia="Times New Roman" w:cs="Times New Roman"/>
          <w:color w:val="auto"/>
          <w:sz w:val="24"/>
          <w:szCs w:val="24"/>
        </w:rPr>
        <w:t xml:space="preserve"> jest zobowiązany do wypełnienia obowiązków, o</w:t>
      </w:r>
      <w:r w:rsidR="00036215" w:rsidRPr="0004353F">
        <w:rPr>
          <w:rFonts w:eastAsia="Times New Roman" w:cs="Times New Roman"/>
          <w:color w:val="auto"/>
          <w:sz w:val="24"/>
          <w:szCs w:val="24"/>
        </w:rPr>
        <w:t> </w:t>
      </w:r>
      <w:r w:rsidR="0069720F" w:rsidRPr="0004353F">
        <w:rPr>
          <w:rFonts w:eastAsia="Times New Roman" w:cs="Times New Roman"/>
          <w:color w:val="auto"/>
          <w:sz w:val="24"/>
          <w:szCs w:val="24"/>
        </w:rPr>
        <w:t>których mowa w rozdziale 3</w:t>
      </w:r>
      <w:r w:rsidR="00D6419C">
        <w:rPr>
          <w:rFonts w:eastAsia="Times New Roman" w:cs="Times New Roman"/>
          <w:color w:val="auto"/>
          <w:sz w:val="24"/>
          <w:szCs w:val="24"/>
        </w:rPr>
        <w:t> </w:t>
      </w:r>
      <w:r w:rsidR="0069720F" w:rsidRPr="0004353F">
        <w:rPr>
          <w:rFonts w:eastAsia="Times New Roman" w:cs="Times New Roman"/>
          <w:i/>
          <w:color w:val="auto"/>
          <w:sz w:val="24"/>
          <w:szCs w:val="24"/>
        </w:rPr>
        <w:t xml:space="preserve">ustawy o krajowym systemie </w:t>
      </w:r>
      <w:proofErr w:type="spellStart"/>
      <w:r w:rsidR="0069720F" w:rsidRPr="0004353F">
        <w:rPr>
          <w:rFonts w:eastAsia="Times New Roman" w:cs="Times New Roman"/>
          <w:i/>
          <w:color w:val="auto"/>
          <w:sz w:val="24"/>
          <w:szCs w:val="24"/>
        </w:rPr>
        <w:t>cyberbezpieczeństwa</w:t>
      </w:r>
      <w:proofErr w:type="spellEnd"/>
      <w:r w:rsidRPr="0004353F">
        <w:rPr>
          <w:rFonts w:eastAsia="Times New Roman" w:cs="Times New Roman"/>
          <w:color w:val="auto"/>
          <w:sz w:val="24"/>
          <w:szCs w:val="24"/>
        </w:rPr>
        <w:t xml:space="preserve"> (wdrożenie art. 14 dyrektywy 2016/1148)</w:t>
      </w:r>
      <w:r w:rsidR="0069720F" w:rsidRPr="0004353F">
        <w:rPr>
          <w:rFonts w:eastAsia="Times New Roman" w:cs="Times New Roman"/>
          <w:color w:val="auto"/>
          <w:sz w:val="24"/>
          <w:szCs w:val="24"/>
        </w:rPr>
        <w:t>, a jako dostawca usług cyfrowych obowiązk</w:t>
      </w:r>
      <w:r w:rsidRPr="0004353F">
        <w:rPr>
          <w:rFonts w:eastAsia="Times New Roman" w:cs="Times New Roman"/>
          <w:color w:val="auto"/>
          <w:sz w:val="24"/>
          <w:szCs w:val="24"/>
        </w:rPr>
        <w:t>ów</w:t>
      </w:r>
      <w:r w:rsidR="00994CB0">
        <w:rPr>
          <w:rFonts w:eastAsia="Times New Roman" w:cs="Times New Roman"/>
          <w:color w:val="auto"/>
          <w:sz w:val="24"/>
          <w:szCs w:val="24"/>
        </w:rPr>
        <w:t>,</w:t>
      </w:r>
      <w:r w:rsidR="0069720F" w:rsidRPr="0004353F">
        <w:rPr>
          <w:rFonts w:eastAsia="Times New Roman" w:cs="Times New Roman"/>
          <w:color w:val="auto"/>
          <w:sz w:val="24"/>
          <w:szCs w:val="24"/>
        </w:rPr>
        <w:t xml:space="preserve"> o</w:t>
      </w:r>
      <w:r w:rsidR="00036215" w:rsidRPr="0004353F">
        <w:rPr>
          <w:rFonts w:eastAsia="Times New Roman" w:cs="Times New Roman"/>
          <w:color w:val="auto"/>
          <w:sz w:val="24"/>
          <w:szCs w:val="24"/>
        </w:rPr>
        <w:t> </w:t>
      </w:r>
      <w:r w:rsidR="0069720F" w:rsidRPr="0004353F">
        <w:rPr>
          <w:rFonts w:eastAsia="Times New Roman" w:cs="Times New Roman"/>
          <w:color w:val="auto"/>
          <w:sz w:val="24"/>
          <w:szCs w:val="24"/>
        </w:rPr>
        <w:t>których mowa w rozdziale 4</w:t>
      </w:r>
      <w:r w:rsidR="00D6419C">
        <w:rPr>
          <w:rFonts w:eastAsia="Times New Roman" w:cs="Times New Roman"/>
          <w:color w:val="auto"/>
          <w:sz w:val="24"/>
          <w:szCs w:val="24"/>
        </w:rPr>
        <w:t> </w:t>
      </w:r>
      <w:r w:rsidR="0069720F" w:rsidRPr="0004353F">
        <w:rPr>
          <w:rFonts w:eastAsia="Times New Roman" w:cs="Times New Roman"/>
          <w:color w:val="auto"/>
          <w:sz w:val="24"/>
          <w:szCs w:val="24"/>
        </w:rPr>
        <w:t>ustawy</w:t>
      </w:r>
      <w:r w:rsidRPr="0004353F">
        <w:rPr>
          <w:rFonts w:eastAsia="Times New Roman" w:cs="Times New Roman"/>
          <w:color w:val="auto"/>
          <w:sz w:val="24"/>
          <w:szCs w:val="24"/>
        </w:rPr>
        <w:t xml:space="preserve"> (wdrożenie art. 16 dyrektywy 2016/1148)</w:t>
      </w:r>
      <w:r w:rsidR="0069720F" w:rsidRPr="0004353F">
        <w:rPr>
          <w:rFonts w:eastAsia="Times New Roman" w:cs="Times New Roman"/>
          <w:color w:val="auto"/>
          <w:sz w:val="24"/>
          <w:szCs w:val="24"/>
        </w:rPr>
        <w:t>.</w:t>
      </w:r>
    </w:p>
    <w:p w:rsidR="002E77D1" w:rsidRDefault="002E77D1" w:rsidP="00E41B3F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2E77D1">
        <w:rPr>
          <w:rFonts w:eastAsia="Times New Roman" w:cs="Times New Roman"/>
          <w:color w:val="auto"/>
          <w:sz w:val="24"/>
          <w:szCs w:val="24"/>
        </w:rPr>
        <w:t xml:space="preserve">Z projektowanego art. 1 pkt 12 projektu </w:t>
      </w:r>
      <w:r>
        <w:rPr>
          <w:rFonts w:eastAsia="Times New Roman" w:cs="Times New Roman"/>
          <w:color w:val="auto"/>
          <w:sz w:val="24"/>
          <w:szCs w:val="24"/>
        </w:rPr>
        <w:t>(dodawany do ustawy  art. 20c ust. 1 pkt 2</w:t>
      </w:r>
      <w:r w:rsidRPr="002E77D1">
        <w:rPr>
          <w:rFonts w:eastAsia="Times New Roman" w:cs="Times New Roman"/>
          <w:color w:val="auto"/>
          <w:sz w:val="24"/>
          <w:szCs w:val="24"/>
        </w:rPr>
        <w:t xml:space="preserve">) wynika, że do zgłoszenia incydentu telekomunikacyjnego zobowiązany jest przedsiębiorca komunikacji elektronicznej, sporządzający plan, o którym mowa w art. 47 ust. 1 </w:t>
      </w:r>
      <w:r w:rsidRPr="009D1079">
        <w:rPr>
          <w:rFonts w:eastAsia="Times New Roman" w:cs="Times New Roman"/>
          <w:i/>
          <w:color w:val="auto"/>
          <w:sz w:val="24"/>
          <w:szCs w:val="24"/>
        </w:rPr>
        <w:t>ustawy – Prawo komunikacji elektronicznej</w:t>
      </w:r>
      <w:r w:rsidRPr="002E77D1">
        <w:rPr>
          <w:rFonts w:eastAsia="Times New Roman" w:cs="Times New Roman"/>
          <w:color w:val="auto"/>
          <w:sz w:val="24"/>
          <w:szCs w:val="24"/>
        </w:rPr>
        <w:t xml:space="preserve">. Tymczasem z art. 47 ust. 1 </w:t>
      </w:r>
      <w:r w:rsidRPr="009D1079">
        <w:rPr>
          <w:rFonts w:eastAsia="Times New Roman" w:cs="Times New Roman"/>
          <w:i/>
          <w:color w:val="auto"/>
          <w:sz w:val="24"/>
          <w:szCs w:val="24"/>
        </w:rPr>
        <w:t>projektu ustawy Prawo komunikacji elektronicznej</w:t>
      </w:r>
      <w:r w:rsidRPr="002E77D1">
        <w:rPr>
          <w:rFonts w:eastAsia="Times New Roman" w:cs="Times New Roman"/>
          <w:color w:val="auto"/>
          <w:sz w:val="24"/>
          <w:szCs w:val="24"/>
        </w:rPr>
        <w:t xml:space="preserve"> wynika, że do sporządzenia planu działań w sytuacji szczególnego zagrożenia zobowiązany jest przedsiębiorca telekomunikacyjny. Należy zauważyć, że pojęcie przedsiębiorcy telekomunikacyjnego jest węższe niż pojęcie przedsiębiorcy komunikacji elektronicznej, które obejmuje również podmioty świadczące usługę komunikacji interpersonalnej niewykorzystującą numerów. </w:t>
      </w:r>
    </w:p>
    <w:p w:rsidR="002E77D1" w:rsidRDefault="00080A4F" w:rsidP="00E41B3F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T</w:t>
      </w:r>
      <w:r w:rsidR="0004353F">
        <w:rPr>
          <w:rFonts w:eastAsia="Times New Roman" w:cs="Times New Roman"/>
          <w:color w:val="auto"/>
          <w:sz w:val="24"/>
          <w:szCs w:val="24"/>
        </w:rPr>
        <w:t>akie sformułowanie przepisów może prowadzić do interpretacji,</w:t>
      </w:r>
      <w:r w:rsidR="002E77D1" w:rsidRPr="002E77D1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04353F">
        <w:rPr>
          <w:rFonts w:eastAsia="Times New Roman" w:cs="Times New Roman"/>
          <w:color w:val="auto"/>
          <w:sz w:val="24"/>
          <w:szCs w:val="24"/>
        </w:rPr>
        <w:t>zgodnie z którą</w:t>
      </w:r>
      <w:r w:rsidR="0004353F" w:rsidRPr="002E77D1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2E77D1" w:rsidRPr="002E77D1">
        <w:rPr>
          <w:rFonts w:eastAsia="Times New Roman" w:cs="Times New Roman"/>
          <w:color w:val="auto"/>
          <w:sz w:val="24"/>
          <w:szCs w:val="24"/>
        </w:rPr>
        <w:t>ta</w:t>
      </w:r>
      <w:r w:rsidR="000426C9">
        <w:rPr>
          <w:rFonts w:eastAsia="Times New Roman" w:cs="Times New Roman"/>
          <w:color w:val="auto"/>
          <w:sz w:val="24"/>
          <w:szCs w:val="24"/>
        </w:rPr>
        <w:t> </w:t>
      </w:r>
      <w:r w:rsidR="002E77D1" w:rsidRPr="002E77D1">
        <w:rPr>
          <w:rFonts w:eastAsia="Times New Roman" w:cs="Times New Roman"/>
          <w:color w:val="auto"/>
          <w:sz w:val="24"/>
          <w:szCs w:val="24"/>
        </w:rPr>
        <w:t>kategoria przedsiębiorców, tj. podmioty świadczące usługę komunikacji interpersonalnej niewykorzystującą numerów</w:t>
      </w:r>
      <w:r w:rsidR="000426C9">
        <w:rPr>
          <w:rFonts w:eastAsia="Times New Roman" w:cs="Times New Roman"/>
          <w:color w:val="auto"/>
          <w:sz w:val="24"/>
          <w:szCs w:val="24"/>
        </w:rPr>
        <w:t>,</w:t>
      </w:r>
      <w:r w:rsidR="002E77D1" w:rsidRPr="002E77D1">
        <w:rPr>
          <w:rFonts w:eastAsia="Times New Roman" w:cs="Times New Roman"/>
          <w:color w:val="auto"/>
          <w:sz w:val="24"/>
          <w:szCs w:val="24"/>
        </w:rPr>
        <w:t xml:space="preserve"> nie </w:t>
      </w:r>
      <w:r w:rsidR="00F0669D" w:rsidRPr="002E77D1">
        <w:rPr>
          <w:rFonts w:eastAsia="Times New Roman" w:cs="Times New Roman"/>
          <w:color w:val="auto"/>
          <w:sz w:val="24"/>
          <w:szCs w:val="24"/>
        </w:rPr>
        <w:t>bę</w:t>
      </w:r>
      <w:r w:rsidR="00F0669D">
        <w:rPr>
          <w:rFonts w:eastAsia="Times New Roman" w:cs="Times New Roman"/>
          <w:color w:val="auto"/>
          <w:sz w:val="24"/>
          <w:szCs w:val="24"/>
        </w:rPr>
        <w:t>dzie zobowiązana</w:t>
      </w:r>
      <w:r w:rsidR="00F0669D" w:rsidRPr="002E77D1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2E77D1" w:rsidRPr="002E77D1">
        <w:rPr>
          <w:rFonts w:eastAsia="Times New Roman" w:cs="Times New Roman"/>
          <w:color w:val="auto"/>
          <w:sz w:val="24"/>
          <w:szCs w:val="24"/>
        </w:rPr>
        <w:t>do</w:t>
      </w:r>
      <w:r w:rsidR="00036215">
        <w:rPr>
          <w:rFonts w:eastAsia="Times New Roman" w:cs="Times New Roman"/>
          <w:color w:val="auto"/>
          <w:sz w:val="24"/>
          <w:szCs w:val="24"/>
        </w:rPr>
        <w:t> </w:t>
      </w:r>
      <w:r w:rsidR="002E77D1" w:rsidRPr="002E77D1">
        <w:rPr>
          <w:rFonts w:eastAsia="Times New Roman" w:cs="Times New Roman"/>
          <w:color w:val="auto"/>
          <w:sz w:val="24"/>
          <w:szCs w:val="24"/>
        </w:rPr>
        <w:t xml:space="preserve">zgłaszania incydentów </w:t>
      </w:r>
      <w:r w:rsidR="006C06F9">
        <w:rPr>
          <w:rFonts w:eastAsia="Times New Roman" w:cs="Times New Roman"/>
          <w:color w:val="auto"/>
          <w:sz w:val="24"/>
          <w:szCs w:val="24"/>
        </w:rPr>
        <w:t>telekomunikacyjnych</w:t>
      </w:r>
      <w:r w:rsidR="002E77D1" w:rsidRPr="002E77D1">
        <w:rPr>
          <w:rFonts w:eastAsia="Times New Roman" w:cs="Times New Roman"/>
          <w:color w:val="auto"/>
          <w:sz w:val="24"/>
          <w:szCs w:val="24"/>
        </w:rPr>
        <w:t xml:space="preserve">. </w:t>
      </w:r>
    </w:p>
    <w:p w:rsidR="002E77D1" w:rsidRDefault="002E77D1" w:rsidP="00E41B3F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2E77D1">
        <w:rPr>
          <w:rFonts w:eastAsia="Times New Roman" w:cs="Times New Roman"/>
          <w:color w:val="auto"/>
          <w:sz w:val="24"/>
          <w:szCs w:val="24"/>
        </w:rPr>
        <w:t>Powyższe</w:t>
      </w:r>
      <w:r w:rsidR="009D1079">
        <w:rPr>
          <w:rFonts w:eastAsia="Times New Roman" w:cs="Times New Roman"/>
          <w:color w:val="auto"/>
          <w:sz w:val="24"/>
          <w:szCs w:val="24"/>
        </w:rPr>
        <w:t xml:space="preserve"> rozwiązanie</w:t>
      </w:r>
      <w:r w:rsidRPr="002E77D1">
        <w:rPr>
          <w:rFonts w:eastAsia="Times New Roman" w:cs="Times New Roman"/>
          <w:color w:val="auto"/>
          <w:sz w:val="24"/>
          <w:szCs w:val="24"/>
        </w:rPr>
        <w:t xml:space="preserve"> budzi wątpliwości w kontekście zgodności z art. 40 ust. 2 </w:t>
      </w:r>
      <w:r w:rsidRPr="002E77D1">
        <w:rPr>
          <w:rFonts w:eastAsia="Times New Roman" w:cs="Times New Roman"/>
          <w:i/>
          <w:color w:val="auto"/>
          <w:sz w:val="24"/>
          <w:szCs w:val="24"/>
        </w:rPr>
        <w:t>dyrektywy 2018/1972 ustanawiającej Europejski kodeks łączności elektronicznej</w:t>
      </w:r>
      <w:r w:rsidRPr="002E77D1">
        <w:rPr>
          <w:rFonts w:eastAsia="Times New Roman" w:cs="Times New Roman"/>
          <w:color w:val="auto"/>
          <w:sz w:val="24"/>
          <w:szCs w:val="24"/>
        </w:rPr>
        <w:t xml:space="preserve">. Przepis ten nakłada bowiem </w:t>
      </w:r>
      <w:r w:rsidR="009D1079" w:rsidRPr="002E77D1">
        <w:rPr>
          <w:rFonts w:eastAsia="Times New Roman" w:cs="Times New Roman"/>
          <w:color w:val="auto"/>
          <w:sz w:val="24"/>
          <w:szCs w:val="24"/>
        </w:rPr>
        <w:t>na podmioty udostępniające publiczne sieci łączności elektronicznej lub</w:t>
      </w:r>
      <w:r w:rsidR="000426C9">
        <w:rPr>
          <w:rFonts w:eastAsia="Times New Roman" w:cs="Times New Roman"/>
          <w:color w:val="auto"/>
          <w:sz w:val="24"/>
          <w:szCs w:val="24"/>
        </w:rPr>
        <w:t> </w:t>
      </w:r>
      <w:r w:rsidR="009D1079" w:rsidRPr="002E77D1">
        <w:rPr>
          <w:rFonts w:eastAsia="Times New Roman" w:cs="Times New Roman"/>
          <w:color w:val="auto"/>
          <w:sz w:val="24"/>
          <w:szCs w:val="24"/>
        </w:rPr>
        <w:t xml:space="preserve">świadczące publicznie dostępne usługi łączności elektronicznej </w:t>
      </w:r>
      <w:r w:rsidRPr="002E77D1">
        <w:rPr>
          <w:rFonts w:eastAsia="Times New Roman" w:cs="Times New Roman"/>
          <w:color w:val="auto"/>
          <w:sz w:val="24"/>
          <w:szCs w:val="24"/>
        </w:rPr>
        <w:t xml:space="preserve">obowiązek zgłaszania incydentów. </w:t>
      </w:r>
      <w:r w:rsidR="00994CB0">
        <w:rPr>
          <w:rFonts w:eastAsia="Times New Roman" w:cs="Times New Roman"/>
          <w:color w:val="auto"/>
          <w:sz w:val="24"/>
          <w:szCs w:val="24"/>
        </w:rPr>
        <w:t>Z</w:t>
      </w:r>
      <w:r w:rsidRPr="002E77D1">
        <w:rPr>
          <w:rFonts w:eastAsia="Times New Roman" w:cs="Times New Roman"/>
          <w:color w:val="auto"/>
          <w:sz w:val="24"/>
          <w:szCs w:val="24"/>
        </w:rPr>
        <w:t>godnie</w:t>
      </w:r>
      <w:r w:rsidR="00994CB0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2E77D1">
        <w:rPr>
          <w:rFonts w:eastAsia="Times New Roman" w:cs="Times New Roman"/>
          <w:color w:val="auto"/>
          <w:sz w:val="24"/>
          <w:szCs w:val="24"/>
        </w:rPr>
        <w:t>z definicją usługi łączności elektronicznej określon</w:t>
      </w:r>
      <w:r w:rsidR="009D1079">
        <w:rPr>
          <w:rFonts w:eastAsia="Times New Roman" w:cs="Times New Roman"/>
          <w:color w:val="auto"/>
          <w:sz w:val="24"/>
          <w:szCs w:val="24"/>
        </w:rPr>
        <w:t>ą</w:t>
      </w:r>
      <w:r w:rsidRPr="002E77D1">
        <w:rPr>
          <w:rFonts w:eastAsia="Times New Roman" w:cs="Times New Roman"/>
          <w:color w:val="auto"/>
          <w:sz w:val="24"/>
          <w:szCs w:val="24"/>
        </w:rPr>
        <w:t xml:space="preserve"> w</w:t>
      </w:r>
      <w:r w:rsidR="009D1079">
        <w:rPr>
          <w:rFonts w:eastAsia="Times New Roman" w:cs="Times New Roman"/>
          <w:color w:val="auto"/>
          <w:sz w:val="24"/>
          <w:szCs w:val="24"/>
        </w:rPr>
        <w:t> </w:t>
      </w:r>
      <w:r w:rsidRPr="002E77D1">
        <w:rPr>
          <w:rFonts w:eastAsia="Times New Roman" w:cs="Times New Roman"/>
          <w:color w:val="auto"/>
          <w:sz w:val="24"/>
          <w:szCs w:val="24"/>
        </w:rPr>
        <w:t xml:space="preserve">art. 2 pkt 4 dyrektywy 2018/1972  w kategorii podmiotów zobowiązanych do zgłaszania incydentów mieszczą się również podmioty świadczące usługę komunikacji interpersonalnej niewykorzystującą numerów. </w:t>
      </w:r>
    </w:p>
    <w:p w:rsidR="00080A4F" w:rsidRDefault="002E77D1" w:rsidP="00715553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2E77D1">
        <w:rPr>
          <w:rFonts w:eastAsia="Times New Roman" w:cs="Times New Roman"/>
          <w:color w:val="auto"/>
          <w:sz w:val="24"/>
          <w:szCs w:val="24"/>
        </w:rPr>
        <w:t>Wobec powyższego obowiązek zgłaszania incydentów należy rozszerzyć na podmioty świadczące usługę komunikacji interpersonalnej niewykorzystującą numerów.</w:t>
      </w:r>
    </w:p>
    <w:p w:rsidR="00080A4F" w:rsidRDefault="00080A4F" w:rsidP="00715553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715553">
        <w:rPr>
          <w:rFonts w:eastAsia="Times New Roman" w:cs="Times New Roman"/>
          <w:color w:val="auto"/>
          <w:sz w:val="24"/>
          <w:szCs w:val="24"/>
        </w:rPr>
        <w:t xml:space="preserve">W projektowanym art. 1 pkt 12 (dodawany do ustawy o krajowym systemie </w:t>
      </w:r>
      <w:proofErr w:type="spellStart"/>
      <w:r w:rsidRPr="00715553">
        <w:rPr>
          <w:rFonts w:eastAsia="Times New Roman" w:cs="Times New Roman"/>
          <w:color w:val="auto"/>
          <w:sz w:val="24"/>
          <w:szCs w:val="24"/>
        </w:rPr>
        <w:t>cyberbezpieczeństwa</w:t>
      </w:r>
      <w:proofErr w:type="spellEnd"/>
      <w:r w:rsidRPr="00715553">
        <w:rPr>
          <w:rFonts w:eastAsia="Times New Roman" w:cs="Times New Roman"/>
          <w:color w:val="auto"/>
          <w:sz w:val="24"/>
          <w:szCs w:val="24"/>
        </w:rPr>
        <w:t xml:space="preserve"> rozdział 4a) określono obowiązki przedsiębiorców komunikacji elektronicznej. Zwracam uwagę, że zawarte w nim przepisy mogą zostać uznane za zasady dotyczące usług społeczeństwa informacyjnego w rozumieniu art. 1 ust. 1 lit. e) </w:t>
      </w:r>
      <w:r w:rsidRPr="00715553">
        <w:rPr>
          <w:rFonts w:eastAsia="Times New Roman" w:cs="Times New Roman"/>
          <w:i/>
          <w:color w:val="auto"/>
          <w:sz w:val="24"/>
          <w:szCs w:val="24"/>
        </w:rPr>
        <w:t>dyrektywy (UE) 2015/1535 ustanawiającej procedurę udzielania informacji w dziedzinie przepisów technicznych oraz zasad dotyczących usług społeczeństwa informacyjnego</w:t>
      </w:r>
      <w:r w:rsidRPr="00715553">
        <w:rPr>
          <w:rFonts w:eastAsia="Times New Roman" w:cs="Times New Roman"/>
          <w:color w:val="auto"/>
          <w:sz w:val="24"/>
          <w:szCs w:val="24"/>
        </w:rPr>
        <w:t xml:space="preserve">, podlegające obowiązkowi notyfikacji. Przywołany przepis dyrektywy definiuje bowiem zasady dotyczące usług jako wymogi o charakterze ogólnym odnoszące się w szczególności do podejmowania i wykonywania działalności usług społeczeństwa informacyjnego, takie jak przepisy dotyczące dostawcy usług, usług i odbiorców usług. </w:t>
      </w:r>
    </w:p>
    <w:p w:rsidR="00080A4F" w:rsidRDefault="00080A4F" w:rsidP="00080A4F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715553">
        <w:rPr>
          <w:rFonts w:eastAsia="Times New Roman" w:cs="Times New Roman"/>
          <w:color w:val="auto"/>
          <w:sz w:val="24"/>
          <w:szCs w:val="24"/>
        </w:rPr>
        <w:t>Należy również zwrócić uwagę na dodawane art. 66a-66c (art. 1 pkt 29 projektu) i art. 67a-67c (art. 1 pkt 30 projektu), które wprowadzają możliwość ustanowienia ograniczeń w</w:t>
      </w:r>
      <w:r w:rsidR="00D6419C">
        <w:rPr>
          <w:rFonts w:eastAsia="Times New Roman" w:cs="Times New Roman"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color w:val="auto"/>
          <w:sz w:val="24"/>
          <w:szCs w:val="24"/>
        </w:rPr>
        <w:t>swobodnym przepływie towarów i usług społeczeństwa informacyjnego polegających w</w:t>
      </w:r>
      <w:r w:rsidR="00D6419C">
        <w:rPr>
          <w:rFonts w:eastAsia="Times New Roman" w:cs="Times New Roman"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color w:val="auto"/>
          <w:sz w:val="24"/>
          <w:szCs w:val="24"/>
        </w:rPr>
        <w:t>szczególności na zakazie wprowadzania do użytkowania sprzętu, oprogramowania i</w:t>
      </w:r>
      <w:r w:rsidR="00D6419C">
        <w:rPr>
          <w:rFonts w:eastAsia="Times New Roman" w:cs="Times New Roman"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color w:val="auto"/>
          <w:sz w:val="24"/>
          <w:szCs w:val="24"/>
        </w:rPr>
        <w:t>usług, nakazie ich wycofania z użytkowania, nakazie wprowadzenia określonych zmian w</w:t>
      </w:r>
      <w:r w:rsidR="0042498A">
        <w:rPr>
          <w:rFonts w:eastAsia="Times New Roman" w:cs="Times New Roman"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color w:val="auto"/>
          <w:sz w:val="24"/>
          <w:szCs w:val="24"/>
        </w:rPr>
        <w:t>sprzęcie lub oprogramowaniu, zakazie korzystania albo nakazie wstrzymania dystrybucji. Wydaje się, że wskazane jest powiadomienie Komisji również o tych przepisach, niezależnie od konieczności notyfikowania konkretnych decyzji, w przypadku gdyby zawierały przepisy techniczne w rozumieniu art. 1 ust. 1 lit. f) dyrektywy 2015/1535.</w:t>
      </w:r>
    </w:p>
    <w:p w:rsidR="00080A4F" w:rsidRPr="00080A4F" w:rsidRDefault="00080A4F" w:rsidP="00080A4F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080A4F">
        <w:rPr>
          <w:rFonts w:eastAsia="Times New Roman" w:cs="Times New Roman"/>
          <w:color w:val="auto"/>
          <w:sz w:val="24"/>
          <w:szCs w:val="24"/>
        </w:rPr>
        <w:t>Niezależnie od powyższego przypominam, że w przypadku, gdyby decyzje podejmowane na</w:t>
      </w:r>
      <w:r w:rsidR="0042498A">
        <w:rPr>
          <w:rFonts w:eastAsia="Times New Roman" w:cs="Times New Roman"/>
          <w:color w:val="auto"/>
          <w:sz w:val="24"/>
          <w:szCs w:val="24"/>
        </w:rPr>
        <w:t> </w:t>
      </w:r>
      <w:r w:rsidRPr="00080A4F">
        <w:rPr>
          <w:rFonts w:eastAsia="Times New Roman" w:cs="Times New Roman"/>
          <w:color w:val="auto"/>
          <w:sz w:val="24"/>
          <w:szCs w:val="24"/>
        </w:rPr>
        <w:t xml:space="preserve">podstawie </w:t>
      </w:r>
      <w:r w:rsidR="0042498A">
        <w:rPr>
          <w:rFonts w:eastAsia="Times New Roman" w:cs="Times New Roman"/>
          <w:color w:val="auto"/>
          <w:sz w:val="24"/>
          <w:szCs w:val="24"/>
        </w:rPr>
        <w:t>wskazanych</w:t>
      </w:r>
      <w:r w:rsidRPr="00080A4F">
        <w:rPr>
          <w:rFonts w:eastAsia="Times New Roman" w:cs="Times New Roman"/>
          <w:color w:val="auto"/>
          <w:sz w:val="24"/>
          <w:szCs w:val="24"/>
        </w:rPr>
        <w:t xml:space="preserve"> przepisów ustawy miały skutkować ograniczeniem usługi społeczeństwa informacyjnego świadczonej przez usługodawcę mającego siedzibę na</w:t>
      </w:r>
      <w:r w:rsidR="0042498A">
        <w:rPr>
          <w:rFonts w:eastAsia="Times New Roman" w:cs="Times New Roman"/>
          <w:color w:val="auto"/>
          <w:sz w:val="24"/>
          <w:szCs w:val="24"/>
        </w:rPr>
        <w:t> </w:t>
      </w:r>
      <w:r w:rsidRPr="00080A4F">
        <w:rPr>
          <w:rFonts w:eastAsia="Times New Roman" w:cs="Times New Roman"/>
          <w:color w:val="auto"/>
          <w:sz w:val="24"/>
          <w:szCs w:val="24"/>
        </w:rPr>
        <w:t>terytorium innego państwa członkowskiego Europejskiego Obszaru Gospodarczego,  konieczne będzie także zastosowanie procedury powiadomienia Komisji i państwa siedziby</w:t>
      </w:r>
      <w:r w:rsidR="0042498A">
        <w:rPr>
          <w:rFonts w:eastAsia="Times New Roman" w:cs="Times New Roman"/>
          <w:color w:val="auto"/>
          <w:sz w:val="24"/>
          <w:szCs w:val="24"/>
        </w:rPr>
        <w:t>,</w:t>
      </w:r>
      <w:r w:rsidRPr="00080A4F">
        <w:rPr>
          <w:rFonts w:eastAsia="Times New Roman" w:cs="Times New Roman"/>
          <w:color w:val="auto"/>
          <w:sz w:val="24"/>
          <w:szCs w:val="24"/>
        </w:rPr>
        <w:t xml:space="preserve"> określonej w art. 3 ust. 4-6 </w:t>
      </w:r>
      <w:r w:rsidRPr="00715553">
        <w:rPr>
          <w:rFonts w:eastAsia="Times New Roman" w:cs="Times New Roman"/>
          <w:i/>
          <w:color w:val="auto"/>
          <w:sz w:val="24"/>
          <w:szCs w:val="24"/>
        </w:rPr>
        <w:t>dyrektywy 2000/31/WE Parlamentu Europejskiego i Rady w</w:t>
      </w:r>
      <w:r w:rsidR="0042498A">
        <w:rPr>
          <w:rFonts w:eastAsia="Times New Roman" w:cs="Times New Roman"/>
          <w:i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i/>
          <w:color w:val="auto"/>
          <w:sz w:val="24"/>
          <w:szCs w:val="24"/>
        </w:rPr>
        <w:t>sprawie niektórych aspektów prawnych usług społeczeństwa informacyjnego, w</w:t>
      </w:r>
      <w:r w:rsidR="0042498A">
        <w:rPr>
          <w:rFonts w:eastAsia="Times New Roman" w:cs="Times New Roman"/>
          <w:i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i/>
          <w:color w:val="auto"/>
          <w:sz w:val="24"/>
          <w:szCs w:val="24"/>
        </w:rPr>
        <w:t>szczególności handlu elektronicznego w ramach rynku wewnętrznego (dyrektywa o</w:t>
      </w:r>
      <w:r w:rsidR="0042498A">
        <w:rPr>
          <w:rFonts w:eastAsia="Times New Roman" w:cs="Times New Roman"/>
          <w:i/>
          <w:color w:val="auto"/>
          <w:sz w:val="24"/>
          <w:szCs w:val="24"/>
        </w:rPr>
        <w:t> </w:t>
      </w:r>
      <w:r w:rsidRPr="00715553">
        <w:rPr>
          <w:rFonts w:eastAsia="Times New Roman" w:cs="Times New Roman"/>
          <w:i/>
          <w:color w:val="auto"/>
          <w:sz w:val="24"/>
          <w:szCs w:val="24"/>
        </w:rPr>
        <w:t>handlu elektronicznym)</w:t>
      </w:r>
      <w:r w:rsidRPr="00080A4F">
        <w:rPr>
          <w:rFonts w:eastAsia="Times New Roman" w:cs="Times New Roman"/>
          <w:color w:val="auto"/>
          <w:sz w:val="24"/>
          <w:szCs w:val="24"/>
        </w:rPr>
        <w:t>.</w:t>
      </w:r>
    </w:p>
    <w:p w:rsidR="0019378F" w:rsidRDefault="00080A4F" w:rsidP="00D6419C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080A4F">
        <w:rPr>
          <w:rFonts w:eastAsia="Times New Roman" w:cs="Times New Roman"/>
          <w:color w:val="auto"/>
          <w:sz w:val="24"/>
          <w:szCs w:val="24"/>
        </w:rPr>
        <w:t>Jednocześnie informuję, że decyzję o konieczności notyfikacji na gruncie dyrektywy 2015/1535 podejmuje projektodawca, w przypadku wątpliwości możliwe jest zasięgnięcie w tej kwestii opinii ministra właściwego do spraw gospodarki, który pełni funkcję koordynatora krajowego systemu notyfikacji norm i aktów prawnych.</w:t>
      </w:r>
      <w:r>
        <w:rPr>
          <w:rFonts w:eastAsia="Times New Roman" w:cs="Times New Roman"/>
          <w:color w:val="auto"/>
          <w:sz w:val="24"/>
          <w:szCs w:val="24"/>
        </w:rPr>
        <w:t xml:space="preserve"> </w:t>
      </w:r>
    </w:p>
    <w:p w:rsidR="003E24A5" w:rsidRPr="003E24A5" w:rsidRDefault="003E24A5" w:rsidP="00E41B3F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3E24A5">
        <w:rPr>
          <w:rFonts w:eastAsia="Times New Roman" w:cs="Times New Roman"/>
          <w:color w:val="auto"/>
          <w:sz w:val="24"/>
          <w:szCs w:val="24"/>
        </w:rPr>
        <w:t xml:space="preserve">Zgodnie art. 1 pkt 24 lit. c projektu </w:t>
      </w:r>
      <w:r>
        <w:rPr>
          <w:rFonts w:eastAsia="Times New Roman" w:cs="Times New Roman"/>
          <w:color w:val="auto"/>
          <w:sz w:val="24"/>
          <w:szCs w:val="24"/>
        </w:rPr>
        <w:t xml:space="preserve">(zmieniany </w:t>
      </w:r>
      <w:r w:rsidRPr="003E24A5">
        <w:rPr>
          <w:rFonts w:eastAsia="Times New Roman" w:cs="Times New Roman"/>
          <w:color w:val="auto"/>
          <w:sz w:val="24"/>
          <w:szCs w:val="24"/>
        </w:rPr>
        <w:t xml:space="preserve">art. 44 ust. 6 </w:t>
      </w:r>
      <w:r w:rsidRPr="00036215">
        <w:rPr>
          <w:rFonts w:eastAsia="Times New Roman" w:cs="Times New Roman"/>
          <w:i/>
          <w:color w:val="auto"/>
          <w:sz w:val="24"/>
          <w:szCs w:val="24"/>
        </w:rPr>
        <w:t xml:space="preserve">ustawy o krajowym systemie </w:t>
      </w:r>
      <w:proofErr w:type="spellStart"/>
      <w:r w:rsidRPr="00036215">
        <w:rPr>
          <w:rFonts w:eastAsia="Times New Roman" w:cs="Times New Roman"/>
          <w:i/>
          <w:color w:val="auto"/>
          <w:sz w:val="24"/>
          <w:szCs w:val="24"/>
        </w:rPr>
        <w:t>cyberbezpieczeństwa</w:t>
      </w:r>
      <w:proofErr w:type="spellEnd"/>
      <w:r w:rsidRPr="003E24A5">
        <w:rPr>
          <w:rFonts w:eastAsia="Times New Roman" w:cs="Times New Roman"/>
          <w:color w:val="auto"/>
          <w:sz w:val="24"/>
          <w:szCs w:val="24"/>
        </w:rPr>
        <w:t>) „w przypadku braku możliwości realizacji zadań CSIRT sektorowego w trybie określonym w ust. 1 lub ust. 5</w:t>
      </w:r>
      <w:r>
        <w:rPr>
          <w:rFonts w:eastAsia="Times New Roman" w:cs="Times New Roman"/>
          <w:color w:val="auto"/>
          <w:sz w:val="24"/>
          <w:szCs w:val="24"/>
        </w:rPr>
        <w:t xml:space="preserve"> art. 44</w:t>
      </w:r>
      <w:r w:rsidR="00D25E87">
        <w:rPr>
          <w:rFonts w:eastAsia="Times New Roman" w:cs="Times New Roman"/>
          <w:color w:val="auto"/>
          <w:sz w:val="24"/>
          <w:szCs w:val="24"/>
        </w:rPr>
        <w:t xml:space="preserve"> ustawy zmienianej</w:t>
      </w:r>
      <w:r w:rsidRPr="003E24A5">
        <w:rPr>
          <w:rFonts w:eastAsia="Times New Roman" w:cs="Times New Roman"/>
          <w:color w:val="auto"/>
          <w:sz w:val="24"/>
          <w:szCs w:val="24"/>
        </w:rPr>
        <w:t>, organ właściwy może, po</w:t>
      </w:r>
      <w:r w:rsidR="00776595">
        <w:rPr>
          <w:rFonts w:eastAsia="Times New Roman" w:cs="Times New Roman"/>
          <w:color w:val="auto"/>
          <w:sz w:val="24"/>
          <w:szCs w:val="24"/>
        </w:rPr>
        <w:t> </w:t>
      </w:r>
      <w:r w:rsidRPr="003E24A5">
        <w:rPr>
          <w:rFonts w:eastAsia="Times New Roman" w:cs="Times New Roman"/>
          <w:color w:val="auto"/>
          <w:sz w:val="24"/>
          <w:szCs w:val="24"/>
        </w:rPr>
        <w:t xml:space="preserve">zasięgnięciu opinii Pełnomocnika, powierzyć realizację zadań CSIRT sektorowego podmiotowi, o którym mowa w art. 4 </w:t>
      </w:r>
      <w:r w:rsidRPr="000014BD">
        <w:rPr>
          <w:rFonts w:eastAsia="Times New Roman" w:cs="Times New Roman"/>
          <w:i/>
          <w:color w:val="auto"/>
          <w:sz w:val="24"/>
          <w:szCs w:val="24"/>
        </w:rPr>
        <w:t>ustawy z dnia 11 września 2019 r. - Prawo zamówień publicznych</w:t>
      </w:r>
      <w:r w:rsidRPr="003E24A5">
        <w:rPr>
          <w:rFonts w:eastAsia="Times New Roman" w:cs="Times New Roman"/>
          <w:color w:val="auto"/>
          <w:sz w:val="24"/>
          <w:szCs w:val="24"/>
        </w:rPr>
        <w:t>”. Mając na uwadze to, że przepis ten nie określa trybu powierzenia realizacji wspomnianych zadań ani nie odsyła w tym</w:t>
      </w:r>
      <w:r w:rsidR="000014BD">
        <w:rPr>
          <w:rFonts w:eastAsia="Times New Roman" w:cs="Times New Roman"/>
          <w:color w:val="auto"/>
          <w:sz w:val="24"/>
          <w:szCs w:val="24"/>
        </w:rPr>
        <w:t xml:space="preserve"> zakresie do przepisów </w:t>
      </w:r>
      <w:r w:rsidR="000014BD" w:rsidRPr="000014BD">
        <w:rPr>
          <w:rFonts w:eastAsia="Times New Roman" w:cs="Times New Roman"/>
          <w:i/>
          <w:color w:val="auto"/>
          <w:sz w:val="24"/>
          <w:szCs w:val="24"/>
        </w:rPr>
        <w:t xml:space="preserve">ustawy </w:t>
      </w:r>
      <w:r w:rsidRPr="000014BD">
        <w:rPr>
          <w:rFonts w:eastAsia="Times New Roman" w:cs="Times New Roman"/>
          <w:i/>
          <w:color w:val="auto"/>
          <w:sz w:val="24"/>
          <w:szCs w:val="24"/>
        </w:rPr>
        <w:t>– Prawo zamówień publicznych</w:t>
      </w:r>
      <w:r w:rsidRPr="003E24A5">
        <w:rPr>
          <w:rFonts w:eastAsia="Times New Roman" w:cs="Times New Roman"/>
          <w:color w:val="auto"/>
          <w:sz w:val="24"/>
          <w:szCs w:val="24"/>
        </w:rPr>
        <w:t>, wydaje się, że może on stanowić podstawę wyłączenia stosowania przepisów o zamówieniach publicznych do powierzenia realizacji zadań CSIRT. Mając na</w:t>
      </w:r>
      <w:r w:rsidR="00776595">
        <w:rPr>
          <w:rFonts w:eastAsia="Times New Roman" w:cs="Times New Roman"/>
          <w:color w:val="auto"/>
          <w:sz w:val="24"/>
          <w:szCs w:val="24"/>
        </w:rPr>
        <w:t> </w:t>
      </w:r>
      <w:r w:rsidRPr="003E24A5">
        <w:rPr>
          <w:rFonts w:eastAsia="Times New Roman" w:cs="Times New Roman"/>
          <w:color w:val="auto"/>
          <w:sz w:val="24"/>
          <w:szCs w:val="24"/>
        </w:rPr>
        <w:t xml:space="preserve">uwadze to, że w uzasadnieniu </w:t>
      </w:r>
      <w:r w:rsidR="00776595">
        <w:rPr>
          <w:rFonts w:eastAsia="Times New Roman" w:cs="Times New Roman"/>
          <w:color w:val="auto"/>
          <w:sz w:val="24"/>
          <w:szCs w:val="24"/>
        </w:rPr>
        <w:t xml:space="preserve">projektu </w:t>
      </w:r>
      <w:r w:rsidRPr="003E24A5">
        <w:rPr>
          <w:rFonts w:eastAsia="Times New Roman" w:cs="Times New Roman"/>
          <w:color w:val="auto"/>
          <w:sz w:val="24"/>
          <w:szCs w:val="24"/>
        </w:rPr>
        <w:t xml:space="preserve">nie odniesiono się tej kwestii, niezbędne jest jej wyjaśnienie. </w:t>
      </w:r>
    </w:p>
    <w:p w:rsidR="003E24A5" w:rsidRPr="003E24A5" w:rsidRDefault="003E24A5" w:rsidP="00E41B3F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3E24A5">
        <w:rPr>
          <w:rFonts w:eastAsia="Times New Roman" w:cs="Times New Roman"/>
          <w:color w:val="auto"/>
          <w:sz w:val="24"/>
          <w:szCs w:val="24"/>
        </w:rPr>
        <w:t xml:space="preserve">Należy </w:t>
      </w:r>
      <w:r w:rsidR="00F0669D">
        <w:rPr>
          <w:rFonts w:eastAsia="Times New Roman" w:cs="Times New Roman"/>
          <w:color w:val="auto"/>
          <w:sz w:val="24"/>
          <w:szCs w:val="24"/>
        </w:rPr>
        <w:t xml:space="preserve">w tym kontekście </w:t>
      </w:r>
      <w:r w:rsidR="00F0669D" w:rsidRPr="003E24A5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3E24A5">
        <w:rPr>
          <w:rFonts w:eastAsia="Times New Roman" w:cs="Times New Roman"/>
          <w:color w:val="auto"/>
          <w:sz w:val="24"/>
          <w:szCs w:val="24"/>
        </w:rPr>
        <w:t xml:space="preserve">zauważyć, że organy właściwe, o których mowa w art. 41 </w:t>
      </w:r>
      <w:r w:rsidRPr="00036215">
        <w:rPr>
          <w:rFonts w:eastAsia="Times New Roman" w:cs="Times New Roman"/>
          <w:i/>
          <w:color w:val="auto"/>
          <w:sz w:val="24"/>
          <w:szCs w:val="24"/>
        </w:rPr>
        <w:t xml:space="preserve">ustawy o krajowym systemie </w:t>
      </w:r>
      <w:proofErr w:type="spellStart"/>
      <w:r w:rsidRPr="00036215">
        <w:rPr>
          <w:rFonts w:eastAsia="Times New Roman" w:cs="Times New Roman"/>
          <w:i/>
          <w:color w:val="auto"/>
          <w:sz w:val="24"/>
          <w:szCs w:val="24"/>
        </w:rPr>
        <w:t>cyberbezpieczeństwa</w:t>
      </w:r>
      <w:proofErr w:type="spellEnd"/>
      <w:r w:rsidR="00827E05">
        <w:rPr>
          <w:rFonts w:eastAsia="Times New Roman" w:cs="Times New Roman"/>
          <w:i/>
          <w:color w:val="auto"/>
          <w:sz w:val="24"/>
          <w:szCs w:val="24"/>
        </w:rPr>
        <w:t>,</w:t>
      </w:r>
      <w:r w:rsidRPr="00036215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Pr="003E24A5">
        <w:rPr>
          <w:rFonts w:eastAsia="Times New Roman" w:cs="Times New Roman"/>
          <w:color w:val="auto"/>
          <w:sz w:val="24"/>
          <w:szCs w:val="24"/>
        </w:rPr>
        <w:t xml:space="preserve">wpisują się w definicję instytucji zamawiającej, </w:t>
      </w:r>
      <w:r w:rsidR="00F0669D" w:rsidRPr="003E24A5">
        <w:rPr>
          <w:rFonts w:eastAsia="Times New Roman" w:cs="Times New Roman"/>
          <w:color w:val="auto"/>
          <w:sz w:val="24"/>
          <w:szCs w:val="24"/>
        </w:rPr>
        <w:t>określon</w:t>
      </w:r>
      <w:r w:rsidR="00F0669D">
        <w:rPr>
          <w:rFonts w:eastAsia="Times New Roman" w:cs="Times New Roman"/>
          <w:color w:val="auto"/>
          <w:sz w:val="24"/>
          <w:szCs w:val="24"/>
        </w:rPr>
        <w:t>ą</w:t>
      </w:r>
      <w:r w:rsidR="00F0669D" w:rsidRPr="003E24A5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3E24A5">
        <w:rPr>
          <w:rFonts w:eastAsia="Times New Roman" w:cs="Times New Roman"/>
          <w:color w:val="auto"/>
          <w:sz w:val="24"/>
          <w:szCs w:val="24"/>
        </w:rPr>
        <w:t xml:space="preserve">w art. 2 ust. 1 pkt 1 </w:t>
      </w:r>
      <w:r w:rsidRPr="000014BD">
        <w:rPr>
          <w:rFonts w:eastAsia="Times New Roman" w:cs="Times New Roman"/>
          <w:i/>
          <w:color w:val="auto"/>
          <w:sz w:val="24"/>
          <w:szCs w:val="24"/>
        </w:rPr>
        <w:t>dyrektywy 2014/24/UE w sprawie zamówień publicznych</w:t>
      </w:r>
      <w:r w:rsidR="00827E05">
        <w:rPr>
          <w:rFonts w:eastAsia="Times New Roman" w:cs="Times New Roman"/>
          <w:color w:val="auto"/>
          <w:sz w:val="24"/>
          <w:szCs w:val="24"/>
        </w:rPr>
        <w:t xml:space="preserve"> i </w:t>
      </w:r>
      <w:r w:rsidRPr="003E24A5">
        <w:rPr>
          <w:rFonts w:eastAsia="Times New Roman" w:cs="Times New Roman"/>
          <w:color w:val="auto"/>
          <w:sz w:val="24"/>
          <w:szCs w:val="24"/>
        </w:rPr>
        <w:t>jako takie, zobowiązane są</w:t>
      </w:r>
      <w:r w:rsidR="00776595">
        <w:rPr>
          <w:rFonts w:eastAsia="Times New Roman" w:cs="Times New Roman"/>
          <w:color w:val="auto"/>
          <w:sz w:val="24"/>
          <w:szCs w:val="24"/>
        </w:rPr>
        <w:t>,</w:t>
      </w:r>
      <w:r w:rsidRPr="003E24A5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776595">
        <w:rPr>
          <w:rFonts w:eastAsia="Times New Roman" w:cs="Times New Roman"/>
          <w:color w:val="auto"/>
          <w:sz w:val="24"/>
          <w:szCs w:val="24"/>
        </w:rPr>
        <w:t xml:space="preserve">na podstawie </w:t>
      </w:r>
      <w:r w:rsidRPr="003E24A5">
        <w:rPr>
          <w:rFonts w:eastAsia="Times New Roman" w:cs="Times New Roman"/>
          <w:color w:val="auto"/>
          <w:sz w:val="24"/>
          <w:szCs w:val="24"/>
        </w:rPr>
        <w:t>art. 1 ust. 1 tej dyrektywy</w:t>
      </w:r>
      <w:r w:rsidR="00776595">
        <w:rPr>
          <w:rFonts w:eastAsia="Times New Roman" w:cs="Times New Roman"/>
          <w:color w:val="auto"/>
          <w:sz w:val="24"/>
          <w:szCs w:val="24"/>
        </w:rPr>
        <w:t>,</w:t>
      </w:r>
      <w:r w:rsidRPr="003E24A5">
        <w:rPr>
          <w:rFonts w:eastAsia="Times New Roman" w:cs="Times New Roman"/>
          <w:color w:val="auto"/>
          <w:sz w:val="24"/>
          <w:szCs w:val="24"/>
        </w:rPr>
        <w:t xml:space="preserve"> do dokonywania zamówień zgodnie z</w:t>
      </w:r>
      <w:r w:rsidR="00036215">
        <w:rPr>
          <w:rFonts w:eastAsia="Times New Roman" w:cs="Times New Roman"/>
          <w:color w:val="auto"/>
          <w:sz w:val="24"/>
          <w:szCs w:val="24"/>
        </w:rPr>
        <w:t> </w:t>
      </w:r>
      <w:r w:rsidRPr="003E24A5">
        <w:rPr>
          <w:rFonts w:eastAsia="Times New Roman" w:cs="Times New Roman"/>
          <w:color w:val="auto"/>
          <w:sz w:val="24"/>
          <w:szCs w:val="24"/>
        </w:rPr>
        <w:t xml:space="preserve">trybami określonymi w dyrektywie. </w:t>
      </w:r>
    </w:p>
    <w:p w:rsidR="003E24A5" w:rsidRDefault="003E24A5" w:rsidP="00E41B3F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3E24A5">
        <w:rPr>
          <w:rFonts w:eastAsia="Times New Roman" w:cs="Times New Roman"/>
          <w:color w:val="auto"/>
          <w:sz w:val="24"/>
          <w:szCs w:val="24"/>
        </w:rPr>
        <w:t>Dyrektywa 2014/24/UE przewiduje co prawda wyjątki od jej stosowania. W tym kontekście należy jednak podkreślić, że zgodnie z utrwalonym orzecznictwem Trybunału Sprawiedliwości UE wszelkie wyjątki od stosowania przepisów dyrektyw dotyczących zamówień publicznych są nie tylko wyczerpująco określone w tych dyrektywach, ale</w:t>
      </w:r>
      <w:r w:rsidR="00036215">
        <w:rPr>
          <w:rFonts w:eastAsia="Times New Roman" w:cs="Times New Roman"/>
          <w:color w:val="auto"/>
          <w:sz w:val="24"/>
          <w:szCs w:val="24"/>
        </w:rPr>
        <w:t> </w:t>
      </w:r>
      <w:r w:rsidRPr="003E24A5">
        <w:rPr>
          <w:rFonts w:eastAsia="Times New Roman" w:cs="Times New Roman"/>
          <w:color w:val="auto"/>
          <w:sz w:val="24"/>
          <w:szCs w:val="24"/>
        </w:rPr>
        <w:t xml:space="preserve">również podlegają wykładni zawężającej (por. wyrok TSUE w sprawie </w:t>
      </w:r>
      <w:proofErr w:type="spellStart"/>
      <w:r w:rsidRPr="003E24A5">
        <w:rPr>
          <w:rFonts w:eastAsia="Times New Roman" w:cs="Times New Roman"/>
          <w:color w:val="auto"/>
          <w:sz w:val="24"/>
          <w:szCs w:val="24"/>
        </w:rPr>
        <w:t>Teckal</w:t>
      </w:r>
      <w:proofErr w:type="spellEnd"/>
      <w:r w:rsidRPr="003E24A5">
        <w:rPr>
          <w:rFonts w:eastAsia="Times New Roman" w:cs="Times New Roman"/>
          <w:color w:val="auto"/>
          <w:sz w:val="24"/>
          <w:szCs w:val="24"/>
        </w:rPr>
        <w:t>, C-107/98, pkt 43-44; wyrok TSUE w sprawie C-385/02, Komisja/Włochy, pkt 19).</w:t>
      </w:r>
    </w:p>
    <w:p w:rsidR="00DA2984" w:rsidRDefault="00DA2984" w:rsidP="00DA2984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Przykładowo a</w:t>
      </w:r>
      <w:r w:rsidRPr="003E24A5">
        <w:rPr>
          <w:rFonts w:eastAsia="Times New Roman" w:cs="Times New Roman"/>
          <w:color w:val="auto"/>
          <w:sz w:val="24"/>
          <w:szCs w:val="24"/>
        </w:rPr>
        <w:t>rt. 12 ust. 1-3 dyrektywy 2014/24/UE pozwala na wyłączenie stosowania jej</w:t>
      </w:r>
      <w:r w:rsidR="00776595">
        <w:rPr>
          <w:rFonts w:eastAsia="Times New Roman" w:cs="Times New Roman"/>
          <w:color w:val="auto"/>
          <w:sz w:val="24"/>
          <w:szCs w:val="24"/>
        </w:rPr>
        <w:t> </w:t>
      </w:r>
      <w:r w:rsidRPr="003E24A5">
        <w:rPr>
          <w:rFonts w:eastAsia="Times New Roman" w:cs="Times New Roman"/>
          <w:color w:val="auto"/>
          <w:sz w:val="24"/>
          <w:szCs w:val="24"/>
        </w:rPr>
        <w:t>przepisów do zamówień publicznych dokonywanych między niektórymi podmiotami sektora</w:t>
      </w:r>
      <w:r>
        <w:rPr>
          <w:rFonts w:eastAsia="Times New Roman" w:cs="Times New Roman"/>
          <w:color w:val="auto"/>
          <w:sz w:val="24"/>
          <w:szCs w:val="24"/>
        </w:rPr>
        <w:t xml:space="preserve"> publicznego, natomiast zgodnie z jej art. 15 ust. 2 </w:t>
      </w:r>
      <w:r w:rsidRPr="001D6A3F">
        <w:rPr>
          <w:rFonts w:eastAsia="Times New Roman" w:cs="Times New Roman"/>
          <w:color w:val="auto"/>
          <w:sz w:val="24"/>
          <w:szCs w:val="24"/>
        </w:rPr>
        <w:t xml:space="preserve">nie ma </w:t>
      </w:r>
      <w:r>
        <w:rPr>
          <w:rFonts w:eastAsia="Times New Roman" w:cs="Times New Roman"/>
          <w:color w:val="auto"/>
          <w:sz w:val="24"/>
          <w:szCs w:val="24"/>
        </w:rPr>
        <w:t xml:space="preserve">ona </w:t>
      </w:r>
      <w:r w:rsidRPr="001D6A3F">
        <w:rPr>
          <w:rFonts w:eastAsia="Times New Roman" w:cs="Times New Roman"/>
          <w:color w:val="auto"/>
          <w:sz w:val="24"/>
          <w:szCs w:val="24"/>
        </w:rPr>
        <w:t>zastosowania do</w:t>
      </w:r>
      <w:r w:rsidR="00776595">
        <w:rPr>
          <w:rFonts w:eastAsia="Times New Roman" w:cs="Times New Roman"/>
          <w:color w:val="auto"/>
          <w:sz w:val="24"/>
          <w:szCs w:val="24"/>
        </w:rPr>
        <w:t> </w:t>
      </w:r>
      <w:r w:rsidRPr="001D6A3F">
        <w:rPr>
          <w:rFonts w:eastAsia="Times New Roman" w:cs="Times New Roman"/>
          <w:color w:val="auto"/>
          <w:sz w:val="24"/>
          <w:szCs w:val="24"/>
        </w:rPr>
        <w:t>za</w:t>
      </w:r>
      <w:r>
        <w:rPr>
          <w:rFonts w:eastAsia="Times New Roman" w:cs="Times New Roman"/>
          <w:color w:val="auto"/>
          <w:sz w:val="24"/>
          <w:szCs w:val="24"/>
        </w:rPr>
        <w:t>mówień publicznych i konkursów,</w:t>
      </w:r>
      <w:r w:rsidRPr="001D6A3F">
        <w:rPr>
          <w:rFonts w:eastAsia="Times New Roman" w:cs="Times New Roman"/>
          <w:color w:val="auto"/>
          <w:sz w:val="24"/>
          <w:szCs w:val="24"/>
        </w:rPr>
        <w:t xml:space="preserve"> w stopniu, w jakim stosowanie </w:t>
      </w:r>
      <w:r w:rsidR="007F291E">
        <w:rPr>
          <w:rFonts w:eastAsia="Times New Roman" w:cs="Times New Roman"/>
          <w:color w:val="auto"/>
          <w:sz w:val="24"/>
          <w:szCs w:val="24"/>
        </w:rPr>
        <w:t>tej</w:t>
      </w:r>
      <w:r w:rsidR="007F291E" w:rsidRPr="001D6A3F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1D6A3F">
        <w:rPr>
          <w:rFonts w:eastAsia="Times New Roman" w:cs="Times New Roman"/>
          <w:color w:val="auto"/>
          <w:sz w:val="24"/>
          <w:szCs w:val="24"/>
        </w:rPr>
        <w:t>dyrektywy zobowiązywałoby państwo członkowskie do dostarczania informacji, których ujawnienie państwo to uważa za sprzeczne z jego podstawowymi interesami w zakresie bezpieczeństwa.</w:t>
      </w:r>
      <w:r>
        <w:rPr>
          <w:rFonts w:eastAsia="Times New Roman" w:cs="Times New Roman"/>
          <w:color w:val="auto"/>
          <w:sz w:val="24"/>
          <w:szCs w:val="24"/>
        </w:rPr>
        <w:t xml:space="preserve"> </w:t>
      </w:r>
    </w:p>
    <w:p w:rsidR="00DA2984" w:rsidRDefault="007F291E" w:rsidP="00DA2984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 xml:space="preserve">Projektodawca powinien zatem wyjaśnić, czy spełnione </w:t>
      </w:r>
      <w:r w:rsidR="00DA2984">
        <w:rPr>
          <w:rFonts w:eastAsia="Times New Roman" w:cs="Times New Roman"/>
          <w:color w:val="auto"/>
          <w:sz w:val="24"/>
          <w:szCs w:val="24"/>
        </w:rPr>
        <w:t>zostały przesłanki skorzystania z</w:t>
      </w:r>
      <w:r w:rsidR="00D6419C">
        <w:rPr>
          <w:rFonts w:eastAsia="Times New Roman" w:cs="Times New Roman"/>
          <w:color w:val="auto"/>
          <w:sz w:val="24"/>
          <w:szCs w:val="24"/>
        </w:rPr>
        <w:t> </w:t>
      </w:r>
      <w:r w:rsidR="00DA2984">
        <w:rPr>
          <w:rFonts w:eastAsia="Times New Roman" w:cs="Times New Roman"/>
          <w:color w:val="auto"/>
          <w:sz w:val="24"/>
          <w:szCs w:val="24"/>
        </w:rPr>
        <w:t>tych lub innych</w:t>
      </w:r>
      <w:r w:rsidR="00DA2984" w:rsidRPr="001D6A3F">
        <w:rPr>
          <w:rFonts w:eastAsia="Times New Roman" w:cs="Times New Roman"/>
          <w:color w:val="auto"/>
          <w:sz w:val="24"/>
          <w:szCs w:val="24"/>
        </w:rPr>
        <w:t xml:space="preserve"> </w:t>
      </w:r>
      <w:proofErr w:type="spellStart"/>
      <w:r w:rsidR="00DA2984" w:rsidRPr="001D6A3F">
        <w:rPr>
          <w:rFonts w:eastAsia="Times New Roman" w:cs="Times New Roman"/>
          <w:color w:val="auto"/>
          <w:sz w:val="24"/>
          <w:szCs w:val="24"/>
        </w:rPr>
        <w:t>wyłączeń</w:t>
      </w:r>
      <w:proofErr w:type="spellEnd"/>
      <w:r w:rsidR="00DA2984" w:rsidRPr="001D6A3F">
        <w:rPr>
          <w:rFonts w:eastAsia="Times New Roman" w:cs="Times New Roman"/>
          <w:color w:val="auto"/>
          <w:sz w:val="24"/>
          <w:szCs w:val="24"/>
        </w:rPr>
        <w:t xml:space="preserve"> dopuszczalnych na gruncie dyrektywy 2014/24/UE</w:t>
      </w:r>
      <w:r>
        <w:rPr>
          <w:rFonts w:eastAsia="Times New Roman" w:cs="Times New Roman"/>
          <w:color w:val="auto"/>
          <w:sz w:val="24"/>
          <w:szCs w:val="24"/>
        </w:rPr>
        <w:t>.</w:t>
      </w:r>
      <w:r w:rsidR="00DA2984" w:rsidRPr="001D6A3F">
        <w:rPr>
          <w:rFonts w:eastAsia="Times New Roman" w:cs="Times New Roman"/>
          <w:color w:val="auto"/>
          <w:sz w:val="24"/>
          <w:szCs w:val="24"/>
        </w:rPr>
        <w:t xml:space="preserve"> </w:t>
      </w:r>
    </w:p>
    <w:p w:rsidR="00DA2984" w:rsidRPr="001D6A3F" w:rsidRDefault="00DA2984" w:rsidP="00DA2984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1D6A3F">
        <w:rPr>
          <w:rFonts w:eastAsia="Times New Roman" w:cs="Times New Roman"/>
          <w:color w:val="auto"/>
          <w:sz w:val="24"/>
          <w:szCs w:val="24"/>
        </w:rPr>
        <w:t>Możliwe jest też rozważenie</w:t>
      </w:r>
      <w:r w:rsidR="00B14CE8">
        <w:rPr>
          <w:rFonts w:eastAsia="Times New Roman" w:cs="Times New Roman"/>
          <w:color w:val="auto"/>
          <w:sz w:val="24"/>
          <w:szCs w:val="24"/>
        </w:rPr>
        <w:t>,</w:t>
      </w:r>
      <w:r w:rsidRPr="001D6A3F">
        <w:rPr>
          <w:rFonts w:eastAsia="Times New Roman" w:cs="Times New Roman"/>
          <w:color w:val="auto"/>
          <w:sz w:val="24"/>
          <w:szCs w:val="24"/>
        </w:rPr>
        <w:t xml:space="preserve"> czy </w:t>
      </w:r>
      <w:r>
        <w:rPr>
          <w:rFonts w:eastAsia="Times New Roman" w:cs="Times New Roman"/>
          <w:color w:val="auto"/>
          <w:sz w:val="24"/>
          <w:szCs w:val="24"/>
        </w:rPr>
        <w:t>wspomniany przepis nie</w:t>
      </w:r>
      <w:r w:rsidRPr="001D6A3F">
        <w:rPr>
          <w:rFonts w:eastAsia="Times New Roman" w:cs="Times New Roman"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 xml:space="preserve">mieści się w zakresie regulacji </w:t>
      </w:r>
      <w:r w:rsidRPr="001D6A3F">
        <w:rPr>
          <w:rFonts w:eastAsia="Times New Roman" w:cs="Times New Roman"/>
          <w:color w:val="auto"/>
          <w:sz w:val="24"/>
          <w:szCs w:val="24"/>
        </w:rPr>
        <w:t>dyrektyw</w:t>
      </w:r>
      <w:r>
        <w:rPr>
          <w:rFonts w:eastAsia="Times New Roman" w:cs="Times New Roman"/>
          <w:color w:val="auto"/>
          <w:sz w:val="24"/>
          <w:szCs w:val="24"/>
        </w:rPr>
        <w:t>y</w:t>
      </w:r>
      <w:r w:rsidRPr="001D6A3F">
        <w:rPr>
          <w:rFonts w:eastAsia="Times New Roman" w:cs="Times New Roman"/>
          <w:color w:val="auto"/>
          <w:sz w:val="24"/>
          <w:szCs w:val="24"/>
        </w:rPr>
        <w:t xml:space="preserve"> 2009/81/WE z dnia 13 lipca 2009 r. w sprawie koordynacji procedur udzielania niektórych zamówień na roboty budowlane, dostawy i usługi przez instytucje lub podmioty zamawiające w dziedzinach obronności i bezpieczeństwa</w:t>
      </w:r>
      <w:r>
        <w:rPr>
          <w:rFonts w:eastAsia="Times New Roman" w:cs="Times New Roman"/>
          <w:color w:val="auto"/>
          <w:sz w:val="24"/>
          <w:szCs w:val="24"/>
        </w:rPr>
        <w:t xml:space="preserve">, która zgodnie z art. 13 ust. 1 lit a) </w:t>
      </w:r>
      <w:r w:rsidRPr="001D6A3F">
        <w:rPr>
          <w:rFonts w:eastAsia="Times New Roman" w:cs="Times New Roman"/>
          <w:color w:val="auto"/>
          <w:sz w:val="24"/>
          <w:szCs w:val="24"/>
        </w:rPr>
        <w:t xml:space="preserve">nie ma zastosowania do zamówień, w przypadku których stosowanie przepisów </w:t>
      </w:r>
      <w:r w:rsidR="007F291E">
        <w:rPr>
          <w:rFonts w:eastAsia="Times New Roman" w:cs="Times New Roman"/>
          <w:color w:val="auto"/>
          <w:sz w:val="24"/>
          <w:szCs w:val="24"/>
        </w:rPr>
        <w:t xml:space="preserve">tej </w:t>
      </w:r>
      <w:r w:rsidRPr="001D6A3F">
        <w:rPr>
          <w:rFonts w:eastAsia="Times New Roman" w:cs="Times New Roman"/>
          <w:color w:val="auto"/>
          <w:sz w:val="24"/>
          <w:szCs w:val="24"/>
        </w:rPr>
        <w:t>dyrektywy zobowiązałoby państwo członkowskie do dostarczenia informacji, których ujawnienie uznaje ono za sprzeczne z jego podstawowymi interesami bezpieczeństwa</w:t>
      </w:r>
      <w:r>
        <w:rPr>
          <w:rFonts w:eastAsia="Times New Roman" w:cs="Times New Roman"/>
          <w:color w:val="auto"/>
          <w:sz w:val="24"/>
          <w:szCs w:val="24"/>
        </w:rPr>
        <w:t>. Do</w:t>
      </w:r>
      <w:r w:rsidR="00D6419C">
        <w:rPr>
          <w:rFonts w:eastAsia="Times New Roman" w:cs="Times New Roman"/>
          <w:color w:val="auto"/>
          <w:sz w:val="24"/>
          <w:szCs w:val="24"/>
        </w:rPr>
        <w:t> </w:t>
      </w:r>
      <w:r>
        <w:rPr>
          <w:rFonts w:eastAsia="Times New Roman" w:cs="Times New Roman"/>
          <w:color w:val="auto"/>
          <w:sz w:val="24"/>
          <w:szCs w:val="24"/>
        </w:rPr>
        <w:t xml:space="preserve">skorzystania z tego wyłączenia niezbędne jest jednak wykazanie przez projektodawcę po pierwsze, że projektowany przepis mieści się w zakresie regulacji dyrektywy 2009/81/WE, po drugie zaś, że spełnione zostały przesłanki wyłączenia jej stosowania. </w:t>
      </w:r>
    </w:p>
    <w:p w:rsidR="003E24A5" w:rsidRPr="003E24A5" w:rsidRDefault="002F3CA6" w:rsidP="00E41B3F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W projektowanej ustawie przewidziano zmianę</w:t>
      </w:r>
      <w:r w:rsidR="003E24A5" w:rsidRPr="003E24A5">
        <w:rPr>
          <w:rFonts w:eastAsia="Times New Roman" w:cs="Times New Roman"/>
          <w:color w:val="auto"/>
          <w:sz w:val="24"/>
          <w:szCs w:val="24"/>
        </w:rPr>
        <w:t xml:space="preserve"> w art. 109 ust. 1 </w:t>
      </w:r>
      <w:r w:rsidR="003E24A5" w:rsidRPr="00036215">
        <w:rPr>
          <w:rFonts w:eastAsia="Times New Roman" w:cs="Times New Roman"/>
          <w:i/>
          <w:color w:val="auto"/>
          <w:sz w:val="24"/>
          <w:szCs w:val="24"/>
        </w:rPr>
        <w:t>ustawy – Prawo zamówień publicznych</w:t>
      </w:r>
      <w:r w:rsidR="003E24A5" w:rsidRPr="003E24A5">
        <w:rPr>
          <w:rFonts w:eastAsia="Times New Roman" w:cs="Times New Roman"/>
          <w:color w:val="auto"/>
          <w:sz w:val="24"/>
          <w:szCs w:val="24"/>
        </w:rPr>
        <w:t xml:space="preserve"> polegająca na dodaniu wśród podstaw wykluczenia wykonawcy przesłanki odnoszącej się do tego, że jest on „dostawcą sprzętu lub oprogramowania, wobec którego stwierdzono wysokie ryzyko, w ramach oceny, o której mowa w art. 66a ust. 1 </w:t>
      </w:r>
      <w:r w:rsidR="003E24A5" w:rsidRPr="00036215">
        <w:rPr>
          <w:rFonts w:eastAsia="Times New Roman" w:cs="Times New Roman"/>
          <w:i/>
          <w:color w:val="auto"/>
          <w:sz w:val="24"/>
          <w:szCs w:val="24"/>
        </w:rPr>
        <w:t>ustawy o</w:t>
      </w:r>
      <w:r w:rsidR="00036215" w:rsidRPr="00036215">
        <w:rPr>
          <w:rFonts w:eastAsia="Times New Roman" w:cs="Times New Roman"/>
          <w:i/>
          <w:color w:val="auto"/>
          <w:sz w:val="24"/>
          <w:szCs w:val="24"/>
        </w:rPr>
        <w:t> </w:t>
      </w:r>
      <w:r w:rsidR="003E24A5" w:rsidRPr="00036215">
        <w:rPr>
          <w:rFonts w:eastAsia="Times New Roman" w:cs="Times New Roman"/>
          <w:i/>
          <w:color w:val="auto"/>
          <w:sz w:val="24"/>
          <w:szCs w:val="24"/>
        </w:rPr>
        <w:t xml:space="preserve">krajowym systemie </w:t>
      </w:r>
      <w:proofErr w:type="spellStart"/>
      <w:r w:rsidR="003E24A5" w:rsidRPr="00036215">
        <w:rPr>
          <w:rFonts w:eastAsia="Times New Roman" w:cs="Times New Roman"/>
          <w:i/>
          <w:color w:val="auto"/>
          <w:sz w:val="24"/>
          <w:szCs w:val="24"/>
        </w:rPr>
        <w:t>cyberbezpieczeństwa</w:t>
      </w:r>
      <w:proofErr w:type="spellEnd"/>
      <w:r w:rsidR="003E24A5" w:rsidRPr="003E24A5">
        <w:rPr>
          <w:rFonts w:eastAsia="Times New Roman" w:cs="Times New Roman"/>
          <w:color w:val="auto"/>
          <w:sz w:val="24"/>
          <w:szCs w:val="24"/>
        </w:rPr>
        <w:t xml:space="preserve">” (art. 2 pkt 2 projektu, projektowany art. 109 ust. 1 pkt 11). Zmieniany przepis art. 109 ust. 1 </w:t>
      </w:r>
      <w:r w:rsidR="003E24A5" w:rsidRPr="00036215">
        <w:rPr>
          <w:rFonts w:eastAsia="Times New Roman" w:cs="Times New Roman"/>
          <w:i/>
          <w:color w:val="auto"/>
          <w:sz w:val="24"/>
          <w:szCs w:val="24"/>
        </w:rPr>
        <w:t>ustawy – Prawo zamówień publicznych</w:t>
      </w:r>
      <w:r w:rsidR="003E24A5" w:rsidRPr="003E24A5">
        <w:rPr>
          <w:rFonts w:eastAsia="Times New Roman" w:cs="Times New Roman"/>
          <w:color w:val="auto"/>
          <w:sz w:val="24"/>
          <w:szCs w:val="24"/>
        </w:rPr>
        <w:t xml:space="preserve"> stanowi z kolei transpozycję art. 57 dyrektywy 2014/24/UE, w którym określono podstawy wykluczenia wykonawcy. W kontekście projektowanego wyłączenia zastosowanie mogłaby ewentualnie znaleźć przesłanka określona w art. 57 ust. 4 lit. c), zgodnie z którym instytucje zamawiające mogą wykluczyć lub zostać zobowiązane przez państwa członkowskie do</w:t>
      </w:r>
      <w:r w:rsidR="00776595">
        <w:rPr>
          <w:rFonts w:eastAsia="Times New Roman" w:cs="Times New Roman"/>
          <w:color w:val="auto"/>
          <w:sz w:val="24"/>
          <w:szCs w:val="24"/>
        </w:rPr>
        <w:t> </w:t>
      </w:r>
      <w:r w:rsidR="003E24A5" w:rsidRPr="003E24A5">
        <w:rPr>
          <w:rFonts w:eastAsia="Times New Roman" w:cs="Times New Roman"/>
          <w:color w:val="auto"/>
          <w:sz w:val="24"/>
          <w:szCs w:val="24"/>
        </w:rPr>
        <w:t>wykluczenia wykonawcy z udziału w postępowaniu o udzielenie zamówienia</w:t>
      </w:r>
      <w:r w:rsidR="00B14CE8">
        <w:rPr>
          <w:rFonts w:eastAsia="Times New Roman" w:cs="Times New Roman"/>
          <w:color w:val="auto"/>
          <w:sz w:val="24"/>
          <w:szCs w:val="24"/>
        </w:rPr>
        <w:t>,</w:t>
      </w:r>
      <w:r w:rsidR="003E24A5" w:rsidRPr="003E24A5">
        <w:rPr>
          <w:rFonts w:eastAsia="Times New Roman" w:cs="Times New Roman"/>
          <w:color w:val="auto"/>
          <w:sz w:val="24"/>
          <w:szCs w:val="24"/>
        </w:rPr>
        <w:t xml:space="preserve"> jeśli mogą wykazać za pomocą stosownych środków, że wykonawca jest winny poważnego wykroczenia zawodowego, które podaje w wątpliwość jego uczciwość. Skorzystanie ze</w:t>
      </w:r>
      <w:r w:rsidR="00036215">
        <w:rPr>
          <w:rFonts w:eastAsia="Times New Roman" w:cs="Times New Roman"/>
          <w:color w:val="auto"/>
          <w:sz w:val="24"/>
          <w:szCs w:val="24"/>
        </w:rPr>
        <w:t> </w:t>
      </w:r>
      <w:r w:rsidR="003E24A5" w:rsidRPr="003E24A5">
        <w:rPr>
          <w:rFonts w:eastAsia="Times New Roman" w:cs="Times New Roman"/>
          <w:color w:val="auto"/>
          <w:sz w:val="24"/>
          <w:szCs w:val="24"/>
        </w:rPr>
        <w:t>wspomnianego wyłączenia wymagałoby jednak wykazania przez projektodawcę, że</w:t>
      </w:r>
      <w:r w:rsidR="00036215">
        <w:rPr>
          <w:rFonts w:eastAsia="Times New Roman" w:cs="Times New Roman"/>
          <w:color w:val="auto"/>
          <w:sz w:val="24"/>
          <w:szCs w:val="24"/>
        </w:rPr>
        <w:t> </w:t>
      </w:r>
      <w:r w:rsidR="003E24A5" w:rsidRPr="003E24A5">
        <w:rPr>
          <w:rFonts w:eastAsia="Times New Roman" w:cs="Times New Roman"/>
          <w:color w:val="auto"/>
          <w:sz w:val="24"/>
          <w:szCs w:val="24"/>
        </w:rPr>
        <w:t xml:space="preserve">wysokie ryzyko, o którym mowa w tym przepisie, stwierdza się na podstawie wykroczeń zawodowych. </w:t>
      </w:r>
    </w:p>
    <w:p w:rsidR="002E77D1" w:rsidRDefault="002E77D1" w:rsidP="002E77D1">
      <w:pPr>
        <w:spacing w:after="120" w:line="240" w:lineRule="auto"/>
        <w:ind w:left="-426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:rsidR="00B9144F" w:rsidRPr="00BF3DD0" w:rsidRDefault="00B9144F" w:rsidP="002E77D1">
      <w:pPr>
        <w:spacing w:after="120" w:line="240" w:lineRule="auto"/>
        <w:ind w:left="-426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BF3DD0">
        <w:rPr>
          <w:rFonts w:eastAsia="Times New Roman" w:cs="Times New Roman"/>
          <w:b/>
          <w:color w:val="auto"/>
          <w:sz w:val="24"/>
          <w:szCs w:val="24"/>
        </w:rPr>
        <w:t xml:space="preserve">Projekt </w:t>
      </w:r>
      <w:r w:rsidR="002E77D1">
        <w:rPr>
          <w:rFonts w:eastAsia="Times New Roman" w:cs="Times New Roman"/>
          <w:b/>
          <w:color w:val="auto"/>
          <w:sz w:val="24"/>
          <w:szCs w:val="24"/>
        </w:rPr>
        <w:t xml:space="preserve">ustawy, z zastrzeżeniem uwag zgłoszonych w niniejszej opinii, </w:t>
      </w:r>
      <w:r w:rsidR="00036215">
        <w:rPr>
          <w:rFonts w:eastAsia="Times New Roman" w:cs="Times New Roman"/>
          <w:b/>
          <w:color w:val="auto"/>
          <w:sz w:val="24"/>
          <w:szCs w:val="24"/>
        </w:rPr>
        <w:t>nie jest sprzeczny</w:t>
      </w:r>
      <w:r w:rsidRPr="00BF3DD0">
        <w:rPr>
          <w:rFonts w:eastAsia="Times New Roman" w:cs="Times New Roman"/>
          <w:b/>
          <w:color w:val="auto"/>
          <w:sz w:val="24"/>
          <w:szCs w:val="24"/>
        </w:rPr>
        <w:t xml:space="preserve"> z</w:t>
      </w:r>
      <w:r w:rsidR="00036215">
        <w:rPr>
          <w:rFonts w:eastAsia="Times New Roman" w:cs="Times New Roman"/>
          <w:b/>
          <w:color w:val="auto"/>
          <w:sz w:val="24"/>
          <w:szCs w:val="24"/>
        </w:rPr>
        <w:t> </w:t>
      </w:r>
      <w:r w:rsidRPr="00BF3DD0">
        <w:rPr>
          <w:rFonts w:eastAsia="Times New Roman" w:cs="Times New Roman"/>
          <w:b/>
          <w:color w:val="auto"/>
          <w:sz w:val="24"/>
          <w:szCs w:val="24"/>
        </w:rPr>
        <w:t>prawem Unii Europejskiej.</w:t>
      </w:r>
    </w:p>
    <w:p w:rsidR="00EB404A" w:rsidRPr="00BF3DD0" w:rsidRDefault="00EB404A" w:rsidP="009B1ED8">
      <w:pPr>
        <w:pStyle w:val="Tekstpodstawowy"/>
        <w:spacing w:after="0"/>
        <w:ind w:left="-426" w:firstLine="284"/>
        <w:jc w:val="both"/>
        <w:rPr>
          <w:rFonts w:ascii="Calibri" w:hAnsi="Calibri"/>
          <w:b/>
          <w:szCs w:val="24"/>
        </w:rPr>
      </w:pPr>
    </w:p>
    <w:p w:rsidR="00CB4E38" w:rsidRPr="00BF3DD0" w:rsidRDefault="00CB4E38" w:rsidP="009B1ED8">
      <w:pPr>
        <w:pStyle w:val="Tekstpodstawowy"/>
        <w:spacing w:after="0"/>
        <w:ind w:left="-426" w:firstLine="284"/>
        <w:jc w:val="both"/>
        <w:rPr>
          <w:rFonts w:ascii="Calibri" w:hAnsi="Calibri"/>
          <w:b/>
          <w:szCs w:val="24"/>
        </w:rPr>
      </w:pPr>
    </w:p>
    <w:p w:rsidR="00A06ED0" w:rsidRDefault="00A06ED0" w:rsidP="00A06ED0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szCs w:val="24"/>
          <w:lang w:eastAsia="en-US"/>
        </w:rPr>
      </w:pPr>
      <w:r>
        <w:rPr>
          <w:rFonts w:asciiTheme="minorHAnsi" w:eastAsiaTheme="minorHAnsi" w:hAnsiTheme="minorHAnsi"/>
          <w:i/>
          <w:szCs w:val="24"/>
          <w:lang w:eastAsia="en-US"/>
        </w:rPr>
        <w:t>Z poważaniem</w:t>
      </w:r>
    </w:p>
    <w:p w:rsidR="00A06ED0" w:rsidRDefault="00A06ED0" w:rsidP="00A06ED0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Konrad Szymański</w:t>
      </w:r>
    </w:p>
    <w:p w:rsidR="00A06ED0" w:rsidRDefault="00A06ED0" w:rsidP="00A06ED0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Minister do Spraw Unii Europejskiej</w:t>
      </w:r>
    </w:p>
    <w:p w:rsidR="00A06ED0" w:rsidRDefault="00A06ED0" w:rsidP="00A06ED0">
      <w:pPr>
        <w:spacing w:after="0" w:line="360" w:lineRule="auto"/>
        <w:ind w:left="3544"/>
        <w:jc w:val="center"/>
        <w:rPr>
          <w:sz w:val="24"/>
          <w:szCs w:val="24"/>
          <w:u w:val="single"/>
        </w:rPr>
      </w:pPr>
      <w:r>
        <w:rPr>
          <w:i/>
          <w:sz w:val="24"/>
          <w:szCs w:val="24"/>
        </w:rPr>
        <w:t>/podpisano kwalifikowanym podpisem elektronicznym/</w:t>
      </w:r>
    </w:p>
    <w:p w:rsidR="00B9144F" w:rsidRPr="00BF3DD0" w:rsidRDefault="00B9144F" w:rsidP="009B1ED8">
      <w:pPr>
        <w:spacing w:after="0" w:line="240" w:lineRule="auto"/>
        <w:ind w:firstLine="284"/>
        <w:rPr>
          <w:rFonts w:asciiTheme="minorHAnsi" w:hAnsiTheme="minorHAnsi"/>
          <w:i/>
          <w:iCs/>
          <w:sz w:val="24"/>
          <w:szCs w:val="24"/>
        </w:rPr>
      </w:pPr>
    </w:p>
    <w:p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p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p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p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sectPr w:rsidR="00B268D2" w:rsidSect="00036215">
      <w:headerReference w:type="default" r:id="rId9"/>
      <w:footerReference w:type="default" r:id="rId10"/>
      <w:footerReference w:type="first" r:id="rId11"/>
      <w:pgSz w:w="11906" w:h="16838"/>
      <w:pgMar w:top="674" w:right="1440" w:bottom="907" w:left="144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5D4" w:rsidRDefault="004545D4" w:rsidP="00884D92">
      <w:pPr>
        <w:spacing w:after="0" w:line="240" w:lineRule="auto"/>
      </w:pPr>
      <w:r>
        <w:separator/>
      </w:r>
    </w:p>
  </w:endnote>
  <w:endnote w:type="continuationSeparator" w:id="0">
    <w:p w:rsidR="004545D4" w:rsidRDefault="004545D4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2542170"/>
      <w:docPartObj>
        <w:docPartGallery w:val="Page Numbers (Bottom of Page)"/>
        <w:docPartUnique/>
      </w:docPartObj>
    </w:sdtPr>
    <w:sdtEndPr/>
    <w:sdtContent>
      <w:p w:rsidR="00036215" w:rsidRDefault="0003621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0CE">
          <w:rPr>
            <w:noProof/>
          </w:rPr>
          <w:t>5</w:t>
        </w:r>
        <w:r>
          <w:fldChar w:fldCharType="end"/>
        </w:r>
      </w:p>
    </w:sdtContent>
  </w:sdt>
  <w:p w:rsidR="00036215" w:rsidRDefault="000362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9863412"/>
      <w:docPartObj>
        <w:docPartGallery w:val="Page Numbers (Bottom of Page)"/>
        <w:docPartUnique/>
      </w:docPartObj>
    </w:sdtPr>
    <w:sdtEndPr/>
    <w:sdtContent>
      <w:p w:rsidR="000426C9" w:rsidRDefault="000426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0CE">
          <w:rPr>
            <w:noProof/>
          </w:rPr>
          <w:t>1</w:t>
        </w:r>
        <w:r>
          <w:fldChar w:fldCharType="end"/>
        </w:r>
      </w:p>
    </w:sdtContent>
  </w:sdt>
  <w:p w:rsidR="000426C9" w:rsidRDefault="00042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5D4" w:rsidRDefault="004545D4" w:rsidP="00884D92">
      <w:pPr>
        <w:spacing w:after="0" w:line="240" w:lineRule="auto"/>
      </w:pPr>
      <w:r>
        <w:separator/>
      </w:r>
    </w:p>
  </w:footnote>
  <w:footnote w:type="continuationSeparator" w:id="0">
    <w:p w:rsidR="004545D4" w:rsidRDefault="004545D4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0A24"/>
    <w:multiLevelType w:val="hybridMultilevel"/>
    <w:tmpl w:val="918AF946"/>
    <w:lvl w:ilvl="0" w:tplc="CFEAE90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014BD"/>
    <w:rsid w:val="0002710A"/>
    <w:rsid w:val="00036215"/>
    <w:rsid w:val="000426C9"/>
    <w:rsid w:val="0004353F"/>
    <w:rsid w:val="00044ED8"/>
    <w:rsid w:val="00080A4F"/>
    <w:rsid w:val="000A55DC"/>
    <w:rsid w:val="000A799C"/>
    <w:rsid w:val="000B641D"/>
    <w:rsid w:val="000B7445"/>
    <w:rsid w:val="00111A34"/>
    <w:rsid w:val="0011357C"/>
    <w:rsid w:val="00120FC0"/>
    <w:rsid w:val="001320A7"/>
    <w:rsid w:val="00177D55"/>
    <w:rsid w:val="0019378F"/>
    <w:rsid w:val="001A6AB1"/>
    <w:rsid w:val="001B40FD"/>
    <w:rsid w:val="001C5E5C"/>
    <w:rsid w:val="001E3DB4"/>
    <w:rsid w:val="001E7843"/>
    <w:rsid w:val="001F3DA3"/>
    <w:rsid w:val="00213198"/>
    <w:rsid w:val="0023315D"/>
    <w:rsid w:val="00240171"/>
    <w:rsid w:val="00251063"/>
    <w:rsid w:val="00271BB1"/>
    <w:rsid w:val="00275D2D"/>
    <w:rsid w:val="0029337C"/>
    <w:rsid w:val="002A7CF4"/>
    <w:rsid w:val="002C248D"/>
    <w:rsid w:val="002C256D"/>
    <w:rsid w:val="002D5E79"/>
    <w:rsid w:val="002E77D1"/>
    <w:rsid w:val="002F3CA6"/>
    <w:rsid w:val="002F4B4F"/>
    <w:rsid w:val="00306DC9"/>
    <w:rsid w:val="003076D1"/>
    <w:rsid w:val="00321435"/>
    <w:rsid w:val="00341021"/>
    <w:rsid w:val="0036308D"/>
    <w:rsid w:val="00363932"/>
    <w:rsid w:val="00364F62"/>
    <w:rsid w:val="003800CE"/>
    <w:rsid w:val="003B70E6"/>
    <w:rsid w:val="003C5EAA"/>
    <w:rsid w:val="003E24A5"/>
    <w:rsid w:val="00403924"/>
    <w:rsid w:val="0042498A"/>
    <w:rsid w:val="00427A5C"/>
    <w:rsid w:val="004366A8"/>
    <w:rsid w:val="00452B16"/>
    <w:rsid w:val="004545D4"/>
    <w:rsid w:val="004C4E9E"/>
    <w:rsid w:val="00520CAC"/>
    <w:rsid w:val="00520CF9"/>
    <w:rsid w:val="005370A9"/>
    <w:rsid w:val="00550CF4"/>
    <w:rsid w:val="005617F0"/>
    <w:rsid w:val="00564305"/>
    <w:rsid w:val="00565468"/>
    <w:rsid w:val="005B0E75"/>
    <w:rsid w:val="005E3DD7"/>
    <w:rsid w:val="005E783E"/>
    <w:rsid w:val="005F13D9"/>
    <w:rsid w:val="005F2EC7"/>
    <w:rsid w:val="00631ABF"/>
    <w:rsid w:val="00650EDA"/>
    <w:rsid w:val="00683719"/>
    <w:rsid w:val="0069384E"/>
    <w:rsid w:val="0069720F"/>
    <w:rsid w:val="00697465"/>
    <w:rsid w:val="006C06F9"/>
    <w:rsid w:val="006F53B4"/>
    <w:rsid w:val="0070717E"/>
    <w:rsid w:val="00715553"/>
    <w:rsid w:val="00734C06"/>
    <w:rsid w:val="00747D1B"/>
    <w:rsid w:val="00776595"/>
    <w:rsid w:val="0079588D"/>
    <w:rsid w:val="007A13A8"/>
    <w:rsid w:val="007B51D7"/>
    <w:rsid w:val="007C27AB"/>
    <w:rsid w:val="007D6396"/>
    <w:rsid w:val="007F2827"/>
    <w:rsid w:val="007F291E"/>
    <w:rsid w:val="0081237F"/>
    <w:rsid w:val="00820D58"/>
    <w:rsid w:val="00827E05"/>
    <w:rsid w:val="00851CF0"/>
    <w:rsid w:val="0086668D"/>
    <w:rsid w:val="00884D92"/>
    <w:rsid w:val="008A2C78"/>
    <w:rsid w:val="008A4E9F"/>
    <w:rsid w:val="008F50BA"/>
    <w:rsid w:val="0090056C"/>
    <w:rsid w:val="009275C7"/>
    <w:rsid w:val="00932DF1"/>
    <w:rsid w:val="0096349E"/>
    <w:rsid w:val="00982F4E"/>
    <w:rsid w:val="00994CB0"/>
    <w:rsid w:val="009B1ED8"/>
    <w:rsid w:val="009D1079"/>
    <w:rsid w:val="009D4FE6"/>
    <w:rsid w:val="009E4E24"/>
    <w:rsid w:val="00A06ED0"/>
    <w:rsid w:val="00A208A3"/>
    <w:rsid w:val="00A32043"/>
    <w:rsid w:val="00A60782"/>
    <w:rsid w:val="00A72014"/>
    <w:rsid w:val="00A7293D"/>
    <w:rsid w:val="00A94445"/>
    <w:rsid w:val="00AA564B"/>
    <w:rsid w:val="00B14CE8"/>
    <w:rsid w:val="00B268D2"/>
    <w:rsid w:val="00B37276"/>
    <w:rsid w:val="00B45046"/>
    <w:rsid w:val="00B55A8E"/>
    <w:rsid w:val="00B9144F"/>
    <w:rsid w:val="00BC20BD"/>
    <w:rsid w:val="00BC708E"/>
    <w:rsid w:val="00BD2E1E"/>
    <w:rsid w:val="00BF3DD0"/>
    <w:rsid w:val="00BF5C3B"/>
    <w:rsid w:val="00C108A4"/>
    <w:rsid w:val="00C75C0C"/>
    <w:rsid w:val="00C9361B"/>
    <w:rsid w:val="00CB4E38"/>
    <w:rsid w:val="00CC223B"/>
    <w:rsid w:val="00CD33CB"/>
    <w:rsid w:val="00CD6463"/>
    <w:rsid w:val="00CF71A0"/>
    <w:rsid w:val="00D211CD"/>
    <w:rsid w:val="00D23B94"/>
    <w:rsid w:val="00D25E87"/>
    <w:rsid w:val="00D41BFF"/>
    <w:rsid w:val="00D6419C"/>
    <w:rsid w:val="00D925CB"/>
    <w:rsid w:val="00D93A57"/>
    <w:rsid w:val="00D95938"/>
    <w:rsid w:val="00DA2984"/>
    <w:rsid w:val="00DB33D9"/>
    <w:rsid w:val="00DC1DD7"/>
    <w:rsid w:val="00DD1C5F"/>
    <w:rsid w:val="00DF3E96"/>
    <w:rsid w:val="00E039D2"/>
    <w:rsid w:val="00E20988"/>
    <w:rsid w:val="00E23D0D"/>
    <w:rsid w:val="00E41B3F"/>
    <w:rsid w:val="00EB404A"/>
    <w:rsid w:val="00ED1491"/>
    <w:rsid w:val="00F0669D"/>
    <w:rsid w:val="00F20C66"/>
    <w:rsid w:val="00F51E7E"/>
    <w:rsid w:val="00F56252"/>
    <w:rsid w:val="00F83F19"/>
    <w:rsid w:val="00F90CEE"/>
    <w:rsid w:val="00F90DE4"/>
    <w:rsid w:val="00F94A9B"/>
    <w:rsid w:val="00FA6F38"/>
    <w:rsid w:val="00FF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56C61"/>
  <w15:docId w15:val="{ABF006E9-E3A8-45AF-BEA6-F580CC51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111A3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6A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6A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6AB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6A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6AB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62A65-E31A-4C79-9AD7-4A1276A89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1964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Tomasini-Lewandowska Joanna</dc:creator>
  <cp:keywords/>
  <dc:description/>
  <cp:lastModifiedBy>Tomasini-Lewandowska Joanna</cp:lastModifiedBy>
  <cp:revision>2</cp:revision>
  <cp:lastPrinted>2020-03-11T08:16:00Z</cp:lastPrinted>
  <dcterms:created xsi:type="dcterms:W3CDTF">2020-10-21T08:40:00Z</dcterms:created>
  <dcterms:modified xsi:type="dcterms:W3CDTF">2020-10-21T08:40:00Z</dcterms:modified>
</cp:coreProperties>
</file>